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DD" w:rsidRDefault="008F39DD" w:rsidP="00775D8C">
      <w:pPr>
        <w:rPr>
          <w:lang w:val="es-ES_tradnl"/>
        </w:rPr>
      </w:pPr>
    </w:p>
    <w:p w:rsidR="000B7548" w:rsidRPr="00EE2DD5" w:rsidRDefault="000B7548" w:rsidP="00775D8C">
      <w:pPr>
        <w:jc w:val="center"/>
        <w:rPr>
          <w:b/>
          <w:sz w:val="28"/>
          <w:szCs w:val="28"/>
          <w:lang w:val="es-ES_tradnl"/>
        </w:rPr>
      </w:pPr>
      <w:r w:rsidRPr="00EE2DD5">
        <w:rPr>
          <w:b/>
          <w:sz w:val="28"/>
          <w:szCs w:val="28"/>
          <w:lang w:val="es-ES_tradnl"/>
        </w:rPr>
        <w:t xml:space="preserve">Under2MOU </w:t>
      </w:r>
      <w:proofErr w:type="spellStart"/>
      <w:r w:rsidRPr="00EE2DD5">
        <w:rPr>
          <w:b/>
          <w:sz w:val="28"/>
          <w:szCs w:val="28"/>
          <w:lang w:val="es-ES_tradnl"/>
        </w:rPr>
        <w:t>Coalition</w:t>
      </w:r>
      <w:proofErr w:type="spellEnd"/>
    </w:p>
    <w:p w:rsidR="000B7548" w:rsidRDefault="000B7548" w:rsidP="00775D8C">
      <w:pPr>
        <w:rPr>
          <w:lang w:val="es-ES_tradnl"/>
        </w:rPr>
      </w:pPr>
    </w:p>
    <w:p w:rsidR="00775D8C" w:rsidRDefault="00775D8C" w:rsidP="00775D8C">
      <w:pPr>
        <w:rPr>
          <w:lang w:val="es-ES_tradnl"/>
        </w:rPr>
      </w:pPr>
    </w:p>
    <w:p w:rsidR="000B7548" w:rsidRDefault="000B7548" w:rsidP="00775D8C">
      <w:pPr>
        <w:jc w:val="both"/>
        <w:rPr>
          <w:lang w:val="es-ES_tradnl"/>
        </w:rPr>
      </w:pPr>
      <w:r>
        <w:rPr>
          <w:lang w:val="es-ES_tradnl"/>
        </w:rPr>
        <w:t>En diciembre del 2015, coincidiendo con la Conferencia mundial sobre el Clima de París (COP21), que cerró un acuerdo histórico contra el cambio climático, Navarra se adhiere como firmante a la Coalición Under2MOU</w:t>
      </w:r>
      <w:r w:rsidR="00775D8C">
        <w:rPr>
          <w:rStyle w:val="Refdenotaalpie"/>
          <w:lang w:val="es-ES_tradnl"/>
        </w:rPr>
        <w:footnoteReference w:id="1"/>
      </w:r>
      <w:r>
        <w:rPr>
          <w:lang w:val="es-ES_tradnl"/>
        </w:rPr>
        <w:t>, es decir, un compromiso para mantener el calentamiento global por debajo de los 2º.</w:t>
      </w:r>
    </w:p>
    <w:p w:rsidR="000B7548" w:rsidRDefault="000B7548" w:rsidP="00775D8C">
      <w:pPr>
        <w:rPr>
          <w:lang w:val="es-ES_tradnl"/>
        </w:rPr>
      </w:pPr>
    </w:p>
    <w:p w:rsidR="000B7548" w:rsidRPr="00EE2DD5" w:rsidRDefault="000B7548" w:rsidP="00775D8C">
      <w:pPr>
        <w:rPr>
          <w:b/>
          <w:sz w:val="28"/>
          <w:szCs w:val="28"/>
          <w:lang w:val="es-ES_tradnl"/>
        </w:rPr>
      </w:pPr>
      <w:r w:rsidRPr="00EE2DD5">
        <w:rPr>
          <w:b/>
          <w:sz w:val="28"/>
          <w:szCs w:val="28"/>
          <w:lang w:val="es-ES_tradnl"/>
        </w:rPr>
        <w:t>Contexto, Acuerdo de París</w:t>
      </w:r>
    </w:p>
    <w:p w:rsidR="000B7548" w:rsidRDefault="000B7548" w:rsidP="00775D8C">
      <w:pPr>
        <w:rPr>
          <w:lang w:val="es-ES_tradnl"/>
        </w:rPr>
      </w:pPr>
    </w:p>
    <w:p w:rsidR="000B7548" w:rsidRDefault="000B7548" w:rsidP="00775D8C">
      <w:r w:rsidRPr="000B7548">
        <w:t>El Acuerdo de París tiende un puente entre las políticas actuales y la neutralidad climática que debe existir a finales del siglo.</w:t>
      </w:r>
      <w:r>
        <w:t xml:space="preserve"> </w:t>
      </w:r>
      <w:r w:rsidRPr="000B7548">
        <w:t>Los Gobiernos acordaron:</w:t>
      </w:r>
    </w:p>
    <w:p w:rsidR="000B7548" w:rsidRPr="000B7548" w:rsidRDefault="000B7548" w:rsidP="00775D8C"/>
    <w:p w:rsidR="000B7548" w:rsidRPr="000B7548" w:rsidRDefault="000B7548" w:rsidP="00775D8C">
      <w:pPr>
        <w:numPr>
          <w:ilvl w:val="0"/>
          <w:numId w:val="1"/>
        </w:numPr>
      </w:pPr>
      <w:r w:rsidRPr="000B7548">
        <w:t>el objetivo a largo plazo de mantener el aumento de la temperatura media mundial </w:t>
      </w:r>
      <w:r w:rsidRPr="000B7548">
        <w:rPr>
          <w:b/>
          <w:bCs/>
        </w:rPr>
        <w:t>muy por debajo de 2 °C</w:t>
      </w:r>
      <w:r w:rsidRPr="000B7548">
        <w:t> sobre los niveles preindustriales</w:t>
      </w:r>
    </w:p>
    <w:p w:rsidR="000B7548" w:rsidRPr="000B7548" w:rsidRDefault="000B7548" w:rsidP="00775D8C">
      <w:pPr>
        <w:numPr>
          <w:ilvl w:val="0"/>
          <w:numId w:val="1"/>
        </w:numPr>
      </w:pPr>
      <w:r w:rsidRPr="000B7548">
        <w:t>limitar el aumento a </w:t>
      </w:r>
      <w:r w:rsidRPr="000B7548">
        <w:rPr>
          <w:b/>
          <w:bCs/>
        </w:rPr>
        <w:t>1,5 °C</w:t>
      </w:r>
      <w:r w:rsidRPr="000B7548">
        <w:t>, lo que reducirá considerablemente los riesgos y el impacto del cambio climático</w:t>
      </w:r>
    </w:p>
    <w:p w:rsidR="000B7548" w:rsidRPr="000B7548" w:rsidRDefault="000B7548" w:rsidP="00775D8C">
      <w:pPr>
        <w:numPr>
          <w:ilvl w:val="0"/>
          <w:numId w:val="1"/>
        </w:numPr>
      </w:pPr>
      <w:r w:rsidRPr="000B7548">
        <w:rPr>
          <w:b/>
          <w:bCs/>
        </w:rPr>
        <w:t>que las emisiones globales alcancen su nivel máximo cuanto antes</w:t>
      </w:r>
      <w:r w:rsidRPr="000B7548">
        <w:t>, si bien reconocen que en los países en desarrollo el proceso será más largo</w:t>
      </w:r>
    </w:p>
    <w:p w:rsidR="000B7548" w:rsidRPr="000B7548" w:rsidRDefault="000B7548" w:rsidP="00775D8C">
      <w:pPr>
        <w:numPr>
          <w:ilvl w:val="0"/>
          <w:numId w:val="1"/>
        </w:numPr>
      </w:pPr>
      <w:r w:rsidRPr="000B7548">
        <w:rPr>
          <w:b/>
          <w:bCs/>
        </w:rPr>
        <w:t>aplicar después rápidas reducciones</w:t>
      </w:r>
      <w:r w:rsidRPr="000B7548">
        <w:t> basadas en los mejores criterios científicos disponibles.</w:t>
      </w:r>
    </w:p>
    <w:p w:rsidR="000B7548" w:rsidRDefault="000B7548" w:rsidP="00775D8C"/>
    <w:p w:rsidR="000B7548" w:rsidRPr="000B7548" w:rsidRDefault="000B7548" w:rsidP="00775D8C">
      <w:pPr>
        <w:jc w:val="both"/>
      </w:pPr>
      <w:r w:rsidRPr="000B7548">
        <w:t>Antes y durante la conferencia de París, los países presentaron sus </w:t>
      </w:r>
      <w:r w:rsidRPr="000B7548">
        <w:rPr>
          <w:b/>
          <w:bCs/>
        </w:rPr>
        <w:t>planes generales nacionales de acción contra el cambio climático</w:t>
      </w:r>
      <w:r w:rsidRPr="000B7548">
        <w:t> (</w:t>
      </w:r>
      <w:hyperlink r:id="rId9" w:tgtFrame="_blank" w:history="1">
        <w:r w:rsidRPr="000B7548">
          <w:rPr>
            <w:rStyle w:val="Hipervnculo"/>
          </w:rPr>
          <w:t>CPDN</w:t>
        </w:r>
      </w:hyperlink>
      <w:r w:rsidRPr="000B7548">
        <w:t>). Aunque los planes no bastarán para mantener el calentamiento global por debajo de 2 °C, el Acuerdo señala el camino para llegar a esa meta</w:t>
      </w:r>
      <w:r>
        <w:rPr>
          <w:rStyle w:val="Refdenotaalpie"/>
        </w:rPr>
        <w:footnoteReference w:id="2"/>
      </w:r>
      <w:r w:rsidRPr="000B7548">
        <w:t>.</w:t>
      </w:r>
    </w:p>
    <w:p w:rsidR="000B7548" w:rsidRPr="000B7548" w:rsidRDefault="000B7548" w:rsidP="00775D8C">
      <w:pPr>
        <w:jc w:val="both"/>
      </w:pPr>
    </w:p>
    <w:p w:rsidR="000B7548" w:rsidRDefault="000B7548" w:rsidP="00775D8C">
      <w:pPr>
        <w:jc w:val="both"/>
        <w:rPr>
          <w:lang w:val="es-ES_tradnl"/>
        </w:rPr>
      </w:pPr>
      <w:r>
        <w:rPr>
          <w:lang w:val="es-ES_tradnl"/>
        </w:rPr>
        <w:t xml:space="preserve">La Comisión Europea lanzó el 30 de noviembre el llamado “paquete energía”, consistente en medidas legislativas y financieras para adaptar la UE a los compromisos adquiridos en París (ver </w:t>
      </w:r>
      <w:hyperlink r:id="rId10" w:history="1">
        <w:r w:rsidRPr="000B7548">
          <w:rPr>
            <w:rStyle w:val="Hipervnculo"/>
            <w:lang w:val="es-ES_tradnl"/>
          </w:rPr>
          <w:t>ficha técnica</w:t>
        </w:r>
      </w:hyperlink>
      <w:r>
        <w:rPr>
          <w:lang w:val="es-ES_tradnl"/>
        </w:rPr>
        <w:t>).</w:t>
      </w:r>
    </w:p>
    <w:p w:rsidR="000B7548" w:rsidRDefault="000B7548" w:rsidP="00775D8C">
      <w:pPr>
        <w:jc w:val="both"/>
        <w:rPr>
          <w:lang w:val="es-ES_tradnl"/>
        </w:rPr>
      </w:pPr>
    </w:p>
    <w:p w:rsidR="000B7548" w:rsidRPr="00EE2DD5" w:rsidRDefault="000B7548" w:rsidP="00775D8C">
      <w:pPr>
        <w:jc w:val="both"/>
        <w:rPr>
          <w:b/>
          <w:sz w:val="28"/>
          <w:szCs w:val="28"/>
          <w:lang w:val="es-ES_tradnl"/>
        </w:rPr>
      </w:pPr>
      <w:r w:rsidRPr="00EE2DD5">
        <w:rPr>
          <w:b/>
          <w:sz w:val="28"/>
          <w:szCs w:val="28"/>
          <w:lang w:val="es-ES_tradnl"/>
        </w:rPr>
        <w:t>Coalición Under2MOU</w:t>
      </w:r>
    </w:p>
    <w:p w:rsidR="000B7548" w:rsidRDefault="000B7548" w:rsidP="00775D8C">
      <w:pPr>
        <w:jc w:val="both"/>
        <w:rPr>
          <w:lang w:val="es-ES_tradnl"/>
        </w:rPr>
      </w:pPr>
    </w:p>
    <w:p w:rsidR="000B7548" w:rsidRPr="000B7548" w:rsidRDefault="000B7548" w:rsidP="00775D8C">
      <w:pPr>
        <w:jc w:val="both"/>
        <w:rPr>
          <w:color w:val="000000"/>
        </w:rPr>
      </w:pPr>
      <w:r w:rsidRPr="000B7548">
        <w:rPr>
          <w:color w:val="000000"/>
        </w:rPr>
        <w:t xml:space="preserve">El paraguas </w:t>
      </w:r>
      <w:r w:rsidRPr="000B7548">
        <w:rPr>
          <w:color w:val="000000"/>
        </w:rPr>
        <w:t xml:space="preserve">de esta iniciativa </w:t>
      </w:r>
      <w:bookmarkStart w:id="0" w:name="_GoBack"/>
      <w:bookmarkEnd w:id="0"/>
      <w:r w:rsidRPr="000B7548">
        <w:rPr>
          <w:color w:val="000000"/>
        </w:rPr>
        <w:t>es el "</w:t>
      </w:r>
      <w:proofErr w:type="spellStart"/>
      <w:r w:rsidRPr="000B7548">
        <w:rPr>
          <w:color w:val="000000"/>
        </w:rPr>
        <w:fldChar w:fldCharType="begin"/>
      </w:r>
      <w:r w:rsidRPr="000B7548">
        <w:rPr>
          <w:color w:val="000000"/>
        </w:rPr>
        <w:instrText xml:space="preserve"> HYPERLINK "https://correoweb.navarra.es/owa/redir.aspx?SURL=us0bnlRnio-K_b0qqemYgiP4KH5DscdVN_5wNYJtvVSVGpaU5nDUCGgAdAB0AHAAcwA6AC8ALwB3AHcAdwAuAHQAaABlAGMAbABpAG0AYQB0AGUAZwByAG8AdQBwAC4AbwByAGcALwBhAGIAbwB1AHQA&amp;URL=https%3a%2f%2fwww.theclimategroup.org%2fabout" \t "_blank" </w:instrText>
      </w:r>
      <w:r w:rsidRPr="000B7548">
        <w:rPr>
          <w:color w:val="000000"/>
        </w:rPr>
        <w:fldChar w:fldCharType="separate"/>
      </w:r>
      <w:r w:rsidRPr="000B7548">
        <w:rPr>
          <w:rStyle w:val="Hipervnculo"/>
        </w:rPr>
        <w:t>Climate</w:t>
      </w:r>
      <w:proofErr w:type="spellEnd"/>
      <w:r w:rsidRPr="000B7548">
        <w:rPr>
          <w:rStyle w:val="Hipervnculo"/>
        </w:rPr>
        <w:t xml:space="preserve"> </w:t>
      </w:r>
      <w:proofErr w:type="spellStart"/>
      <w:r w:rsidRPr="000B7548">
        <w:rPr>
          <w:rStyle w:val="Hipervnculo"/>
        </w:rPr>
        <w:t>Group</w:t>
      </w:r>
      <w:proofErr w:type="spellEnd"/>
      <w:r w:rsidRPr="000B7548">
        <w:rPr>
          <w:color w:val="000000"/>
        </w:rPr>
        <w:fldChar w:fldCharType="end"/>
      </w:r>
      <w:r w:rsidRPr="000B7548">
        <w:rPr>
          <w:color w:val="000000"/>
        </w:rPr>
        <w:t>", que es una asociación de gobiernos estatales y regionales, así como del sector industrial que tiene el objetivo de construir un mundo sostenible. Se creó en 2004.</w:t>
      </w:r>
      <w:r>
        <w:rPr>
          <w:color w:val="000000"/>
        </w:rPr>
        <w:t xml:space="preserve"> </w:t>
      </w:r>
      <w:r w:rsidRPr="000B7548">
        <w:rPr>
          <w:color w:val="000000"/>
        </w:rPr>
        <w:t>Tiene un "proyecto" al que llaman "</w:t>
      </w:r>
      <w:hyperlink r:id="rId11" w:tgtFrame="_blank" w:history="1">
        <w:r w:rsidRPr="000B7548">
          <w:rPr>
            <w:rStyle w:val="Hipervnculo"/>
          </w:rPr>
          <w:t>Compact of States and Regions</w:t>
        </w:r>
      </w:hyperlink>
      <w:r w:rsidRPr="000B7548">
        <w:rPr>
          <w:color w:val="000000"/>
        </w:rPr>
        <w:t>" que entre otros tiene por objetivo canalizar datos y crear buenas prácticas. Para ser socio hay que firmar una carta de compromiso y aportar datos nuestro de plan de lucha contra el cambio climático</w:t>
      </w:r>
      <w:r>
        <w:rPr>
          <w:rStyle w:val="Refdenotaalpie"/>
          <w:color w:val="000000"/>
        </w:rPr>
        <w:footnoteReference w:id="3"/>
      </w:r>
      <w:r w:rsidRPr="000B7548">
        <w:rPr>
          <w:color w:val="000000"/>
        </w:rPr>
        <w:t>.</w:t>
      </w:r>
    </w:p>
    <w:p w:rsidR="000B7548" w:rsidRPr="000B7548" w:rsidRDefault="000B7548" w:rsidP="00775D8C">
      <w:pPr>
        <w:jc w:val="both"/>
        <w:rPr>
          <w:color w:val="000000"/>
        </w:rPr>
      </w:pPr>
    </w:p>
    <w:p w:rsidR="000B7548" w:rsidRDefault="000B7548" w:rsidP="00775D8C">
      <w:pPr>
        <w:jc w:val="both"/>
        <w:rPr>
          <w:color w:val="000000"/>
        </w:rPr>
      </w:pPr>
      <w:r w:rsidRPr="000B7548">
        <w:rPr>
          <w:color w:val="000000"/>
        </w:rPr>
        <w:t xml:space="preserve">El Compact </w:t>
      </w:r>
      <w:proofErr w:type="spellStart"/>
      <w:r w:rsidRPr="000B7548">
        <w:rPr>
          <w:color w:val="000000"/>
        </w:rPr>
        <w:t>Group</w:t>
      </w:r>
      <w:proofErr w:type="spellEnd"/>
      <w:r w:rsidRPr="000B7548">
        <w:rPr>
          <w:color w:val="000000"/>
        </w:rPr>
        <w:t xml:space="preserve"> actúa de Secretariado del </w:t>
      </w:r>
      <w:r w:rsidRPr="00775D8C">
        <w:rPr>
          <w:b/>
          <w:color w:val="000000"/>
        </w:rPr>
        <w:t>Under2Mou</w:t>
      </w:r>
      <w:r w:rsidRPr="000B7548">
        <w:rPr>
          <w:color w:val="000000"/>
        </w:rPr>
        <w:t xml:space="preserve">, </w:t>
      </w:r>
      <w:r>
        <w:rPr>
          <w:color w:val="000000"/>
        </w:rPr>
        <w:t xml:space="preserve">al que Navarra se adhirió en diciembre del 2015, en un acto </w:t>
      </w:r>
      <w:r w:rsidR="00775D8C">
        <w:rPr>
          <w:color w:val="000000"/>
        </w:rPr>
        <w:t xml:space="preserve">celebrado en la Embajada de los Estados Unidos en París, </w:t>
      </w:r>
      <w:r>
        <w:rPr>
          <w:color w:val="000000"/>
        </w:rPr>
        <w:t>al que acudieron Mikel Irujo, Delegado del Gobierno en Bruselas, y la Directora de Medio Ambiente, Eva García</w:t>
      </w:r>
      <w:r w:rsidRPr="000B7548">
        <w:rPr>
          <w:color w:val="000000"/>
        </w:rPr>
        <w:t>.</w:t>
      </w:r>
    </w:p>
    <w:p w:rsidR="00775D8C" w:rsidRDefault="00775D8C" w:rsidP="00775D8C">
      <w:pPr>
        <w:jc w:val="both"/>
        <w:rPr>
          <w:color w:val="000000"/>
        </w:rPr>
      </w:pPr>
    </w:p>
    <w:p w:rsidR="00775D8C" w:rsidRDefault="00775D8C" w:rsidP="00775D8C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Para ser parte del Under2MOU hay que firmar una carta de compromiso señalando los objetivos de cada región (ver </w:t>
      </w:r>
      <w:hyperlink r:id="rId12" w:history="1">
        <w:r w:rsidRPr="00775D8C">
          <w:rPr>
            <w:rStyle w:val="Hipervnculo"/>
          </w:rPr>
          <w:t>link</w:t>
        </w:r>
      </w:hyperlink>
      <w:r>
        <w:rPr>
          <w:color w:val="000000"/>
        </w:rPr>
        <w:t>).</w:t>
      </w:r>
    </w:p>
    <w:p w:rsidR="00775D8C" w:rsidRDefault="00775D8C" w:rsidP="00775D8C">
      <w:pPr>
        <w:jc w:val="both"/>
        <w:rPr>
          <w:color w:val="000000"/>
        </w:rPr>
      </w:pPr>
    </w:p>
    <w:p w:rsidR="00775D8C" w:rsidRDefault="00775D8C" w:rsidP="00775D8C">
      <w:pPr>
        <w:jc w:val="both"/>
        <w:rPr>
          <w:color w:val="000000"/>
        </w:rPr>
      </w:pPr>
      <w:r w:rsidRPr="00775D8C">
        <w:rPr>
          <w:color w:val="000000"/>
        </w:rPr>
        <w:t xml:space="preserve">Un total de 167 </w:t>
      </w:r>
      <w:r>
        <w:rPr>
          <w:color w:val="000000"/>
        </w:rPr>
        <w:t xml:space="preserve">regiones o </w:t>
      </w:r>
      <w:r w:rsidRPr="00775D8C">
        <w:rPr>
          <w:color w:val="000000"/>
        </w:rPr>
        <w:t xml:space="preserve">jurisdicciones que representan a 33 países y </w:t>
      </w:r>
      <w:r>
        <w:rPr>
          <w:color w:val="000000"/>
        </w:rPr>
        <w:t xml:space="preserve">los cinco </w:t>
      </w:r>
      <w:r w:rsidRPr="00775D8C">
        <w:rPr>
          <w:color w:val="000000"/>
        </w:rPr>
        <w:t>contin</w:t>
      </w:r>
      <w:r>
        <w:rPr>
          <w:color w:val="000000"/>
        </w:rPr>
        <w:t>entes han firmado este compromiso</w:t>
      </w:r>
      <w:r w:rsidRPr="00775D8C">
        <w:rPr>
          <w:color w:val="000000"/>
        </w:rPr>
        <w:t xml:space="preserve">. </w:t>
      </w:r>
      <w:r>
        <w:rPr>
          <w:color w:val="000000"/>
        </w:rPr>
        <w:t xml:space="preserve">Todos ellos </w:t>
      </w:r>
      <w:r w:rsidRPr="00775D8C">
        <w:rPr>
          <w:color w:val="000000"/>
        </w:rPr>
        <w:t>representa</w:t>
      </w:r>
      <w:r>
        <w:rPr>
          <w:color w:val="000000"/>
        </w:rPr>
        <w:t>n</w:t>
      </w:r>
      <w:r w:rsidRPr="00775D8C">
        <w:rPr>
          <w:color w:val="000000"/>
        </w:rPr>
        <w:t xml:space="preserve"> más de 1,09 mil millones de personas y 25,9 </w:t>
      </w:r>
      <w:r>
        <w:rPr>
          <w:color w:val="000000"/>
        </w:rPr>
        <w:t xml:space="preserve">mil millones en </w:t>
      </w:r>
      <w:r w:rsidRPr="00775D8C">
        <w:rPr>
          <w:color w:val="000000"/>
        </w:rPr>
        <w:t>PIB</w:t>
      </w:r>
      <w:r>
        <w:rPr>
          <w:color w:val="000000"/>
        </w:rPr>
        <w:t xml:space="preserve"> acumulado</w:t>
      </w:r>
      <w:r w:rsidRPr="00775D8C">
        <w:rPr>
          <w:color w:val="000000"/>
        </w:rPr>
        <w:t>, lo que equivale a más de un tercio de la economía mundial.</w:t>
      </w:r>
    </w:p>
    <w:p w:rsidR="00775D8C" w:rsidRDefault="00775D8C" w:rsidP="00775D8C">
      <w:pPr>
        <w:jc w:val="both"/>
        <w:rPr>
          <w:color w:val="000000"/>
        </w:rPr>
      </w:pPr>
    </w:p>
    <w:p w:rsidR="00775D8C" w:rsidRPr="00775D8C" w:rsidRDefault="00775D8C" w:rsidP="00775D8C">
      <w:pPr>
        <w:jc w:val="both"/>
        <w:rPr>
          <w:color w:val="000000"/>
        </w:rPr>
      </w:pPr>
      <w:r w:rsidRPr="00775D8C">
        <w:rPr>
          <w:color w:val="000000"/>
        </w:rPr>
        <w:t xml:space="preserve">El texto del UNder2MOU puede encontrarse en la Declaración de intenciones en el siguiente </w:t>
      </w:r>
      <w:hyperlink r:id="rId13" w:history="1">
        <w:r w:rsidRPr="00775D8C">
          <w:rPr>
            <w:rStyle w:val="Hipervnculo"/>
          </w:rPr>
          <w:t>link</w:t>
        </w:r>
      </w:hyperlink>
      <w:r w:rsidRPr="00775D8C">
        <w:rPr>
          <w:color w:val="000000"/>
        </w:rPr>
        <w:t>, pero puede destacarse:</w:t>
      </w:r>
    </w:p>
    <w:p w:rsidR="00775D8C" w:rsidRPr="00775D8C" w:rsidRDefault="00775D8C" w:rsidP="00775D8C">
      <w:pPr>
        <w:jc w:val="both"/>
        <w:rPr>
          <w:color w:val="000000"/>
        </w:rPr>
      </w:pPr>
    </w:p>
    <w:p w:rsidR="00775D8C" w:rsidRPr="00775D8C" w:rsidRDefault="00775D8C" w:rsidP="00775D8C">
      <w:pPr>
        <w:numPr>
          <w:ilvl w:val="0"/>
          <w:numId w:val="2"/>
        </w:numPr>
        <w:shd w:val="clear" w:color="auto" w:fill="FFFFFF"/>
        <w:ind w:left="397"/>
        <w:jc w:val="both"/>
        <w:rPr>
          <w:color w:val="000000"/>
        </w:rPr>
      </w:pPr>
      <w:r w:rsidRPr="00775D8C">
        <w:rPr>
          <w:color w:val="000000"/>
        </w:rPr>
        <w:t xml:space="preserve">Reúne a gobiernos </w:t>
      </w:r>
      <w:proofErr w:type="spellStart"/>
      <w:r w:rsidRPr="00775D8C">
        <w:rPr>
          <w:color w:val="000000"/>
        </w:rPr>
        <w:t>subnacionales</w:t>
      </w:r>
      <w:proofErr w:type="spellEnd"/>
      <w:r w:rsidRPr="00775D8C">
        <w:rPr>
          <w:color w:val="000000"/>
        </w:rPr>
        <w:t xml:space="preserve"> dispuestos a comprometerse a</w:t>
      </w:r>
      <w:r>
        <w:rPr>
          <w:color w:val="000000"/>
        </w:rPr>
        <w:t>, bien</w:t>
      </w:r>
      <w:r w:rsidRPr="00775D8C">
        <w:rPr>
          <w:color w:val="000000"/>
        </w:rPr>
        <w:t xml:space="preserve"> la reducción de sus emisiones de gases de efecto invernadero 80 a 95 por ciento por debajo de los niveles de 1990 o limitar las emisiones a menos de 2 toneladas métricas por cápita 2050;</w:t>
      </w:r>
    </w:p>
    <w:p w:rsidR="00775D8C" w:rsidRPr="00775D8C" w:rsidRDefault="00775D8C" w:rsidP="00775D8C">
      <w:pPr>
        <w:numPr>
          <w:ilvl w:val="0"/>
          <w:numId w:val="2"/>
        </w:numPr>
        <w:shd w:val="clear" w:color="auto" w:fill="FFFFFF"/>
        <w:ind w:left="397"/>
        <w:jc w:val="both"/>
        <w:rPr>
          <w:color w:val="000000"/>
        </w:rPr>
      </w:pPr>
      <w:r w:rsidRPr="00775D8C">
        <w:rPr>
          <w:color w:val="000000"/>
        </w:rPr>
        <w:t>Está en línea con los niveles de emisión establecidos científicamente necesarios para limitar el calentamiento global por debajo de 2 grados centígrados;</w:t>
      </w:r>
    </w:p>
    <w:p w:rsidR="00775D8C" w:rsidRPr="00775D8C" w:rsidRDefault="00775D8C" w:rsidP="00775D8C">
      <w:pPr>
        <w:numPr>
          <w:ilvl w:val="0"/>
          <w:numId w:val="2"/>
        </w:numPr>
        <w:shd w:val="clear" w:color="auto" w:fill="FFFFFF"/>
        <w:ind w:left="397"/>
        <w:jc w:val="both"/>
        <w:rPr>
          <w:color w:val="000000"/>
        </w:rPr>
      </w:pPr>
      <w:r w:rsidRPr="00775D8C">
        <w:rPr>
          <w:color w:val="000000"/>
        </w:rPr>
        <w:t>Ofrece oportunidades de estados, regiones y ciudades para compartir ideas y mejores prácticas sobre la manera de reducir los gases invernadero y expandir el desarrollo de energía renovable;</w:t>
      </w:r>
    </w:p>
    <w:p w:rsidR="00775D8C" w:rsidRPr="00775D8C" w:rsidRDefault="00775D8C" w:rsidP="00775D8C">
      <w:pPr>
        <w:numPr>
          <w:ilvl w:val="0"/>
          <w:numId w:val="2"/>
        </w:numPr>
        <w:shd w:val="clear" w:color="auto" w:fill="FFFFFF"/>
        <w:ind w:left="397"/>
        <w:jc w:val="both"/>
        <w:rPr>
          <w:color w:val="000000"/>
        </w:rPr>
      </w:pPr>
      <w:r w:rsidRPr="00775D8C">
        <w:rPr>
          <w:color w:val="000000"/>
        </w:rPr>
        <w:t>Proporciona un modelo para otros gobiernos de todos los niveles a unirse;</w:t>
      </w:r>
    </w:p>
    <w:p w:rsidR="00775D8C" w:rsidRPr="00775D8C" w:rsidRDefault="00775D8C" w:rsidP="00775D8C">
      <w:pPr>
        <w:jc w:val="both"/>
        <w:rPr>
          <w:color w:val="000000"/>
        </w:rPr>
      </w:pPr>
    </w:p>
    <w:p w:rsidR="00775D8C" w:rsidRDefault="00775D8C" w:rsidP="00775D8C">
      <w:pPr>
        <w:jc w:val="both"/>
        <w:rPr>
          <w:color w:val="000000"/>
        </w:rPr>
      </w:pPr>
      <w:r>
        <w:rPr>
          <w:color w:val="000000"/>
        </w:rPr>
        <w:t xml:space="preserve">En la reunión mantenida el 21 de marzo de 2017 en la Sede de </w:t>
      </w:r>
      <w:proofErr w:type="spellStart"/>
      <w:r>
        <w:rPr>
          <w:color w:val="000000"/>
        </w:rPr>
        <w:t>Baden-Wurtenberg</w:t>
      </w:r>
      <w:proofErr w:type="spellEnd"/>
      <w:r>
        <w:rPr>
          <w:color w:val="000000"/>
        </w:rPr>
        <w:t xml:space="preserve"> en Bruselas se hizo un repaso de las últimas actividades, y tres regiones contaron sus casos de éxito (Comunidad Autónoma </w:t>
      </w:r>
      <w:r w:rsidR="00056AFB">
        <w:rPr>
          <w:color w:val="000000"/>
        </w:rPr>
        <w:t>Vasca, Silesia y Renania-Westfalia).</w:t>
      </w:r>
    </w:p>
    <w:p w:rsidR="00056AFB" w:rsidRDefault="00056AFB" w:rsidP="00775D8C">
      <w:pPr>
        <w:jc w:val="both"/>
        <w:rPr>
          <w:color w:val="000000"/>
        </w:rPr>
      </w:pPr>
    </w:p>
    <w:p w:rsidR="00056AFB" w:rsidRDefault="00056AFB" w:rsidP="00775D8C">
      <w:pPr>
        <w:jc w:val="both"/>
        <w:rPr>
          <w:color w:val="000000"/>
        </w:rPr>
      </w:pPr>
      <w:r>
        <w:rPr>
          <w:color w:val="000000"/>
        </w:rPr>
        <w:t xml:space="preserve">Se centraron especialmente en destacar las acciones llevadas a cabo por el Compact </w:t>
      </w:r>
      <w:proofErr w:type="spellStart"/>
      <w:r>
        <w:rPr>
          <w:color w:val="000000"/>
        </w:rPr>
        <w:t>Group</w:t>
      </w:r>
      <w:proofErr w:type="spellEnd"/>
      <w:r>
        <w:rPr>
          <w:color w:val="000000"/>
        </w:rPr>
        <w:t>, por ejemplo:</w:t>
      </w:r>
    </w:p>
    <w:p w:rsidR="00056AFB" w:rsidRDefault="00056AFB" w:rsidP="00775D8C">
      <w:pPr>
        <w:jc w:val="both"/>
        <w:rPr>
          <w:color w:val="000000"/>
        </w:rPr>
      </w:pPr>
    </w:p>
    <w:p w:rsidR="00056AFB" w:rsidRDefault="00056AFB" w:rsidP="00775D8C">
      <w:pPr>
        <w:jc w:val="both"/>
        <w:rPr>
          <w:color w:val="000000"/>
        </w:rPr>
      </w:pPr>
      <w:r>
        <w:rPr>
          <w:b/>
          <w:color w:val="000000"/>
        </w:rPr>
        <w:t>-</w:t>
      </w:r>
      <w:hyperlink r:id="rId14" w:history="1">
        <w:r w:rsidRPr="00056AFB">
          <w:rPr>
            <w:rStyle w:val="Hipervnculo"/>
            <w:b/>
          </w:rPr>
          <w:t>Plataforma de transición energética</w:t>
        </w:r>
      </w:hyperlink>
      <w:r>
        <w:rPr>
          <w:color w:val="000000"/>
        </w:rPr>
        <w:t xml:space="preserve">, para: </w:t>
      </w:r>
    </w:p>
    <w:p w:rsidR="00056AFB" w:rsidRDefault="00056AFB" w:rsidP="00775D8C">
      <w:pPr>
        <w:jc w:val="both"/>
        <w:rPr>
          <w:color w:val="000000"/>
        </w:rPr>
      </w:pPr>
    </w:p>
    <w:p w:rsidR="00056AFB" w:rsidRPr="00056AFB" w:rsidRDefault="00056AFB" w:rsidP="00056AFB">
      <w:pPr>
        <w:numPr>
          <w:ilvl w:val="0"/>
          <w:numId w:val="3"/>
        </w:numPr>
        <w:jc w:val="both"/>
        <w:rPr>
          <w:color w:val="000000"/>
        </w:rPr>
      </w:pPr>
      <w:r w:rsidRPr="00056AFB">
        <w:rPr>
          <w:color w:val="000000"/>
        </w:rPr>
        <w:t>Analizar las experiencias de transición energética;</w:t>
      </w:r>
    </w:p>
    <w:p w:rsidR="00056AFB" w:rsidRPr="00056AFB" w:rsidRDefault="00056AFB" w:rsidP="00056AFB">
      <w:pPr>
        <w:numPr>
          <w:ilvl w:val="0"/>
          <w:numId w:val="3"/>
        </w:numPr>
        <w:jc w:val="both"/>
        <w:rPr>
          <w:color w:val="000000"/>
        </w:rPr>
      </w:pPr>
      <w:r w:rsidRPr="00056AFB">
        <w:rPr>
          <w:color w:val="000000"/>
        </w:rPr>
        <w:t>Habilitar el aprendizaje entre pares global en profundidad sobre las políticas y las iniciativas de transición de energía;</w:t>
      </w:r>
    </w:p>
    <w:p w:rsidR="00056AFB" w:rsidRPr="00056AFB" w:rsidRDefault="00056AFB" w:rsidP="00056AFB">
      <w:pPr>
        <w:numPr>
          <w:ilvl w:val="0"/>
          <w:numId w:val="3"/>
        </w:numPr>
        <w:jc w:val="both"/>
        <w:rPr>
          <w:color w:val="000000"/>
        </w:rPr>
      </w:pPr>
      <w:r w:rsidRPr="00056AFB">
        <w:rPr>
          <w:color w:val="000000"/>
        </w:rPr>
        <w:t>Superar las barreras a los retos de transición de energía y adoptar modelos innovadores.</w:t>
      </w:r>
    </w:p>
    <w:p w:rsidR="00056AFB" w:rsidRDefault="00056AFB" w:rsidP="00056AFB">
      <w:pPr>
        <w:jc w:val="both"/>
        <w:rPr>
          <w:color w:val="000000"/>
        </w:rPr>
      </w:pPr>
    </w:p>
    <w:p w:rsidR="00056AFB" w:rsidRPr="00056AFB" w:rsidRDefault="00056AFB" w:rsidP="00056AFB">
      <w:pPr>
        <w:jc w:val="both"/>
        <w:rPr>
          <w:color w:val="000000"/>
        </w:rPr>
      </w:pPr>
      <w:r w:rsidRPr="00056AFB">
        <w:rPr>
          <w:color w:val="000000"/>
        </w:rPr>
        <w:t>La Plataforma Transición Energética facilita la adopción de modelos de políticas innovadoras emergentes por los estados y las regiones, sino que también demuestra la necesidad de una acción ampliada a nivel nacional e internacional</w:t>
      </w:r>
      <w:r>
        <w:rPr>
          <w:color w:val="000000"/>
        </w:rPr>
        <w:t>.</w:t>
      </w:r>
    </w:p>
    <w:p w:rsidR="00056AFB" w:rsidRDefault="00056AFB" w:rsidP="00775D8C">
      <w:pPr>
        <w:jc w:val="both"/>
        <w:rPr>
          <w:color w:val="000000"/>
        </w:rPr>
      </w:pPr>
    </w:p>
    <w:p w:rsidR="00056AFB" w:rsidRDefault="00056AFB" w:rsidP="00775D8C">
      <w:pPr>
        <w:jc w:val="both"/>
        <w:rPr>
          <w:color w:val="000000"/>
        </w:rPr>
      </w:pPr>
      <w:r>
        <w:rPr>
          <w:b/>
          <w:color w:val="000000"/>
        </w:rPr>
        <w:t>-</w:t>
      </w:r>
      <w:hyperlink r:id="rId15" w:history="1">
        <w:r w:rsidRPr="00056AFB">
          <w:rPr>
            <w:rStyle w:val="Hipervnculo"/>
            <w:b/>
          </w:rPr>
          <w:t>RE100</w:t>
        </w:r>
      </w:hyperlink>
      <w:r w:rsidRPr="00056AFB">
        <w:rPr>
          <w:b/>
          <w:color w:val="000000"/>
        </w:rPr>
        <w:t>:</w:t>
      </w:r>
      <w:r>
        <w:rPr>
          <w:color w:val="000000"/>
        </w:rPr>
        <w:t xml:space="preserve"> </w:t>
      </w:r>
      <w:r w:rsidRPr="00056AFB">
        <w:rPr>
          <w:color w:val="000000"/>
        </w:rPr>
        <w:t>es una iniciativa global de colaboración de las empresas influyentes comprometid</w:t>
      </w:r>
      <w:r>
        <w:rPr>
          <w:color w:val="000000"/>
        </w:rPr>
        <w:t>a</w:t>
      </w:r>
      <w:r w:rsidRPr="00056AFB">
        <w:rPr>
          <w:color w:val="000000"/>
        </w:rPr>
        <w:t>s a utilizar el 100% de electricidad renovable. Esto acelerará la transformación del mercado energético global y ayudar a la transición hacia una economía baja en carbon</w:t>
      </w:r>
      <w:r>
        <w:rPr>
          <w:color w:val="000000"/>
        </w:rPr>
        <w:t xml:space="preserve">o. </w:t>
      </w:r>
      <w:r w:rsidRPr="00056AFB">
        <w:rPr>
          <w:color w:val="000000"/>
        </w:rPr>
        <w:t xml:space="preserve">RE100 reúne a empresas líderes de todo el mundo, que abarca </w:t>
      </w:r>
      <w:proofErr w:type="gramStart"/>
      <w:r w:rsidRPr="00056AFB">
        <w:rPr>
          <w:color w:val="000000"/>
        </w:rPr>
        <w:t>una amplia gama de sectores, como las telecomunicaciones, TIC, muebles para el hogar, ropa, alimentos, banca y seguros</w:t>
      </w:r>
      <w:proofErr w:type="gramEnd"/>
      <w:r w:rsidRPr="00056AFB">
        <w:rPr>
          <w:color w:val="000000"/>
        </w:rPr>
        <w:t>.</w:t>
      </w:r>
    </w:p>
    <w:p w:rsidR="00056AFB" w:rsidRDefault="00056AFB" w:rsidP="00775D8C">
      <w:pPr>
        <w:jc w:val="both"/>
        <w:rPr>
          <w:color w:val="000000"/>
        </w:rPr>
      </w:pPr>
    </w:p>
    <w:p w:rsidR="00775D8C" w:rsidRPr="000B7548" w:rsidRDefault="00056AFB" w:rsidP="00775D8C">
      <w:pPr>
        <w:jc w:val="both"/>
        <w:rPr>
          <w:color w:val="000000"/>
        </w:rPr>
      </w:pPr>
      <w:r>
        <w:rPr>
          <w:b/>
          <w:color w:val="000000"/>
        </w:rPr>
        <w:t>-</w:t>
      </w:r>
      <w:proofErr w:type="spellStart"/>
      <w:r w:rsidRPr="00056AFB">
        <w:rPr>
          <w:b/>
          <w:color w:val="000000"/>
        </w:rPr>
        <w:fldChar w:fldCharType="begin"/>
      </w:r>
      <w:r w:rsidRPr="00056AFB">
        <w:rPr>
          <w:b/>
          <w:color w:val="000000"/>
        </w:rPr>
        <w:instrText xml:space="preserve"> HYPERLINK "https://www.theclimategroup.org/project/we-mean-business" </w:instrText>
      </w:r>
      <w:r w:rsidRPr="00056AFB">
        <w:rPr>
          <w:b/>
          <w:color w:val="000000"/>
        </w:rPr>
      </w:r>
      <w:r w:rsidRPr="00056AFB">
        <w:rPr>
          <w:b/>
          <w:color w:val="000000"/>
        </w:rPr>
        <w:fldChar w:fldCharType="separate"/>
      </w:r>
      <w:r w:rsidRPr="00056AFB">
        <w:rPr>
          <w:rStyle w:val="Hipervnculo"/>
          <w:b/>
        </w:rPr>
        <w:t>We</w:t>
      </w:r>
      <w:proofErr w:type="spellEnd"/>
      <w:r w:rsidRPr="00056AFB">
        <w:rPr>
          <w:rStyle w:val="Hipervnculo"/>
          <w:b/>
        </w:rPr>
        <w:t xml:space="preserve"> Mean Business</w:t>
      </w:r>
      <w:r w:rsidRPr="00056AFB">
        <w:rPr>
          <w:b/>
          <w:color w:val="000000"/>
        </w:rPr>
        <w:fldChar w:fldCharType="end"/>
      </w:r>
      <w:r>
        <w:rPr>
          <w:color w:val="000000"/>
        </w:rPr>
        <w:t xml:space="preserve">: </w:t>
      </w:r>
      <w:r w:rsidRPr="00056AFB">
        <w:rPr>
          <w:color w:val="000000"/>
        </w:rPr>
        <w:t>coalición de organizaciones que trabajan con miles de empresas y los inversores más influyentes del mundo</w:t>
      </w:r>
      <w:r>
        <w:rPr>
          <w:color w:val="000000"/>
        </w:rPr>
        <w:t>. L</w:t>
      </w:r>
      <w:r w:rsidRPr="00056AFB">
        <w:rPr>
          <w:color w:val="000000"/>
        </w:rPr>
        <w:t xml:space="preserve">os socios de la coalición están trabajando </w:t>
      </w:r>
      <w:r w:rsidRPr="00056AFB">
        <w:rPr>
          <w:color w:val="000000"/>
        </w:rPr>
        <w:lastRenderedPageBreak/>
        <w:t>juntos para enviar una señal fuerte a los gobiernos y los políticos que las empresas y los inversores de todo el mundo quieren  la política climática inteligente  que va a escalar soluciones y ayudar a ofrecer un futuro más próspero y resistente.</w:t>
      </w:r>
    </w:p>
    <w:p w:rsidR="000B7548" w:rsidRPr="000B7548" w:rsidRDefault="000B7548" w:rsidP="00775D8C">
      <w:pPr>
        <w:jc w:val="both"/>
      </w:pPr>
    </w:p>
    <w:sectPr w:rsidR="000B7548" w:rsidRPr="000B7548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88F" w:rsidRDefault="00B8688F" w:rsidP="000B7548">
      <w:r>
        <w:separator/>
      </w:r>
    </w:p>
  </w:endnote>
  <w:endnote w:type="continuationSeparator" w:id="0">
    <w:p w:rsidR="00B8688F" w:rsidRDefault="00B8688F" w:rsidP="000B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1"/>
      <w:gridCol w:w="2881"/>
      <w:gridCol w:w="2882"/>
    </w:tblGrid>
    <w:tr w:rsidR="00EE2DD5" w:rsidRPr="00680B7E" w:rsidTr="0071071E">
      <w:trPr>
        <w:jc w:val="center"/>
      </w:trPr>
      <w:tc>
        <w:tcPr>
          <w:tcW w:w="2881" w:type="dxa"/>
          <w:vAlign w:val="bottom"/>
        </w:tcPr>
        <w:p w:rsidR="00EE2DD5" w:rsidRPr="00DC69AD" w:rsidRDefault="00EE2DD5" w:rsidP="0071071E">
          <w:pPr>
            <w:pStyle w:val="Piedepgina"/>
            <w:jc w:val="center"/>
            <w:rPr>
              <w:b/>
              <w:i/>
              <w:color w:val="808080" w:themeColor="background1" w:themeShade="80"/>
              <w:sz w:val="12"/>
              <w:szCs w:val="12"/>
              <w:lang w:val="en-US"/>
            </w:rPr>
          </w:pPr>
          <w:proofErr w:type="spellStart"/>
          <w:r w:rsidRPr="00DC69AD">
            <w:rPr>
              <w:b/>
              <w:i/>
              <w:color w:val="808080" w:themeColor="background1" w:themeShade="80"/>
              <w:sz w:val="12"/>
              <w:szCs w:val="12"/>
              <w:lang w:val="en-US"/>
            </w:rPr>
            <w:t>Bruselako</w:t>
          </w:r>
          <w:proofErr w:type="spellEnd"/>
          <w:r w:rsidRPr="00DC69AD">
            <w:rPr>
              <w:b/>
              <w:i/>
              <w:color w:val="808080" w:themeColor="background1" w:themeShade="80"/>
              <w:sz w:val="12"/>
              <w:szCs w:val="12"/>
              <w:lang w:val="en-US"/>
            </w:rPr>
            <w:t xml:space="preserve"> </w:t>
          </w:r>
          <w:proofErr w:type="spellStart"/>
          <w:r w:rsidRPr="00DC69AD">
            <w:rPr>
              <w:b/>
              <w:i/>
              <w:color w:val="808080" w:themeColor="background1" w:themeShade="80"/>
              <w:sz w:val="12"/>
              <w:szCs w:val="12"/>
              <w:lang w:val="en-US"/>
            </w:rPr>
            <w:t>Delegazioa</w:t>
          </w:r>
          <w:proofErr w:type="spellEnd"/>
        </w:p>
        <w:p w:rsidR="00EE2DD5" w:rsidRPr="00DC69AD" w:rsidRDefault="00EE2DD5" w:rsidP="0071071E">
          <w:pPr>
            <w:pStyle w:val="Piedepgina"/>
            <w:jc w:val="center"/>
            <w:rPr>
              <w:b/>
              <w:i/>
              <w:color w:val="808080" w:themeColor="background1" w:themeShade="80"/>
              <w:sz w:val="12"/>
              <w:szCs w:val="12"/>
              <w:lang w:val="en-US"/>
            </w:rPr>
          </w:pPr>
          <w:r w:rsidRPr="00DC69AD">
            <w:rPr>
              <w:b/>
              <w:i/>
              <w:color w:val="808080" w:themeColor="background1" w:themeShade="80"/>
              <w:sz w:val="12"/>
              <w:szCs w:val="12"/>
              <w:lang w:val="en-US"/>
            </w:rPr>
            <w:t>Delegation in Brussels</w:t>
          </w:r>
        </w:p>
      </w:tc>
      <w:tc>
        <w:tcPr>
          <w:tcW w:w="2881" w:type="dxa"/>
        </w:tcPr>
        <w:p w:rsidR="00EE2DD5" w:rsidRPr="002802E5" w:rsidRDefault="00EE2DD5" w:rsidP="0071071E">
          <w:pPr>
            <w:pStyle w:val="Piedepgina"/>
            <w:jc w:val="center"/>
            <w:rPr>
              <w:b/>
              <w:i/>
              <w:sz w:val="18"/>
              <w:szCs w:val="18"/>
            </w:rPr>
          </w:pPr>
          <w:r w:rsidRPr="002802E5">
            <w:rPr>
              <w:b/>
              <w:i/>
              <w:noProof/>
              <w:sz w:val="18"/>
              <w:szCs w:val="18"/>
              <w:lang w:val="es-ES" w:eastAsia="es-ES"/>
            </w:rPr>
            <w:drawing>
              <wp:inline distT="0" distB="0" distL="0" distR="0" wp14:anchorId="428720C7" wp14:editId="55015BA4">
                <wp:extent cx="951124" cy="261295"/>
                <wp:effectExtent l="0" t="0" r="1905" b="571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294" cy="2657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2" w:type="dxa"/>
          <w:vAlign w:val="bottom"/>
        </w:tcPr>
        <w:p w:rsidR="00EE2DD5" w:rsidRPr="00DC69AD" w:rsidRDefault="00EE2DD5" w:rsidP="0071071E">
          <w:pPr>
            <w:pStyle w:val="Piedepgina"/>
            <w:ind w:left="708"/>
            <w:jc w:val="center"/>
            <w:rPr>
              <w:b/>
              <w:i/>
              <w:color w:val="808080" w:themeColor="background1" w:themeShade="80"/>
              <w:sz w:val="12"/>
              <w:szCs w:val="12"/>
              <w:lang w:val="fr-BE"/>
            </w:rPr>
          </w:pPr>
          <w:r w:rsidRPr="00DC69AD">
            <w:rPr>
              <w:b/>
              <w:i/>
              <w:color w:val="808080" w:themeColor="background1" w:themeShade="80"/>
              <w:sz w:val="12"/>
              <w:szCs w:val="12"/>
              <w:lang w:val="fr-BE"/>
            </w:rPr>
            <w:t>Délégation à Bruxelles</w:t>
          </w:r>
        </w:p>
        <w:p w:rsidR="00EE2DD5" w:rsidRPr="002802E5" w:rsidRDefault="00EE2DD5" w:rsidP="0071071E">
          <w:pPr>
            <w:pStyle w:val="Piedepgina"/>
            <w:ind w:left="708"/>
            <w:jc w:val="center"/>
            <w:rPr>
              <w:b/>
              <w:i/>
              <w:sz w:val="18"/>
              <w:szCs w:val="18"/>
              <w:lang w:val="fr-BE"/>
            </w:rPr>
          </w:pPr>
          <w:proofErr w:type="spellStart"/>
          <w:r w:rsidRPr="00DC69AD">
            <w:rPr>
              <w:b/>
              <w:i/>
              <w:color w:val="808080" w:themeColor="background1" w:themeShade="80"/>
              <w:sz w:val="12"/>
              <w:szCs w:val="12"/>
              <w:lang w:val="fr-BE"/>
            </w:rPr>
            <w:t>Delegación</w:t>
          </w:r>
          <w:proofErr w:type="spellEnd"/>
          <w:r w:rsidRPr="00DC69AD">
            <w:rPr>
              <w:b/>
              <w:i/>
              <w:color w:val="808080" w:themeColor="background1" w:themeShade="80"/>
              <w:sz w:val="12"/>
              <w:szCs w:val="12"/>
              <w:lang w:val="fr-BE"/>
            </w:rPr>
            <w:t xml:space="preserve"> en </w:t>
          </w:r>
          <w:proofErr w:type="spellStart"/>
          <w:r w:rsidRPr="00DC69AD">
            <w:rPr>
              <w:b/>
              <w:i/>
              <w:color w:val="808080" w:themeColor="background1" w:themeShade="80"/>
              <w:sz w:val="12"/>
              <w:szCs w:val="12"/>
              <w:lang w:val="fr-BE"/>
            </w:rPr>
            <w:t>Bruselas</w:t>
          </w:r>
          <w:proofErr w:type="spellEnd"/>
        </w:p>
      </w:tc>
    </w:tr>
  </w:tbl>
  <w:p w:rsidR="00EE2DD5" w:rsidRDefault="00EE2D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88F" w:rsidRDefault="00B8688F" w:rsidP="000B7548">
      <w:r>
        <w:separator/>
      </w:r>
    </w:p>
  </w:footnote>
  <w:footnote w:type="continuationSeparator" w:id="0">
    <w:p w:rsidR="00B8688F" w:rsidRDefault="00B8688F" w:rsidP="000B7548">
      <w:r>
        <w:continuationSeparator/>
      </w:r>
    </w:p>
  </w:footnote>
  <w:footnote w:id="1">
    <w:p w:rsidR="00775D8C" w:rsidRPr="00775D8C" w:rsidRDefault="00775D8C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 xml:space="preserve">MOU: </w:t>
      </w:r>
      <w:proofErr w:type="spellStart"/>
      <w:r>
        <w:rPr>
          <w:lang w:val="es-ES_tradnl"/>
        </w:rPr>
        <w:t>Memorandum</w:t>
      </w:r>
      <w:proofErr w:type="spellEnd"/>
      <w:r>
        <w:rPr>
          <w:lang w:val="es-ES_tradnl"/>
        </w:rPr>
        <w:t xml:space="preserve"> of </w:t>
      </w:r>
      <w:proofErr w:type="spellStart"/>
      <w:r>
        <w:rPr>
          <w:lang w:val="es-ES_tradnl"/>
        </w:rPr>
        <w:t>Understanding</w:t>
      </w:r>
      <w:proofErr w:type="spellEnd"/>
    </w:p>
  </w:footnote>
  <w:footnote w:id="2">
    <w:p w:rsidR="000B7548" w:rsidRPr="000B7548" w:rsidRDefault="000B7548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 w:rsidRPr="000B7548">
        <w:t>https://ec.europa.eu/clima/policies/international/negotiations/paris_es</w:t>
      </w:r>
    </w:p>
  </w:footnote>
  <w:footnote w:id="3">
    <w:p w:rsidR="000B7548" w:rsidRPr="000B7548" w:rsidRDefault="000B7548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 w:rsidRPr="000B7548">
        <w:t>https://www.theclimategroup.org/project/compact-states-and-regions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DD5" w:rsidRDefault="00EE2DD5" w:rsidP="00EE2DD5">
    <w:pPr>
      <w:pStyle w:val="Encabezado"/>
      <w:jc w:val="right"/>
    </w:pPr>
    <w:r w:rsidRPr="000E5D37">
      <w:rPr>
        <w:noProof/>
      </w:rPr>
      <w:drawing>
        <wp:inline distT="0" distB="0" distL="0" distR="0" wp14:anchorId="0569223E" wp14:editId="2D5349D7">
          <wp:extent cx="352425" cy="352425"/>
          <wp:effectExtent l="0" t="0" r="9525" b="9525"/>
          <wp:docPr id="2" name="Imagen 2" descr="C:\Users\mirujo\Pictures\Logo GOB NA B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ujo\Pictures\Logo GOB NA BR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936A7"/>
    <w:multiLevelType w:val="multilevel"/>
    <w:tmpl w:val="A05C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A92B69"/>
    <w:multiLevelType w:val="multilevel"/>
    <w:tmpl w:val="408E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590244"/>
    <w:multiLevelType w:val="multilevel"/>
    <w:tmpl w:val="4BAE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48"/>
    <w:rsid w:val="00056AFB"/>
    <w:rsid w:val="000B7548"/>
    <w:rsid w:val="00775D8C"/>
    <w:rsid w:val="007C20FD"/>
    <w:rsid w:val="008F39DD"/>
    <w:rsid w:val="00B8688F"/>
    <w:rsid w:val="00EE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B7548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0B754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B7548"/>
  </w:style>
  <w:style w:type="character" w:styleId="Refdenotaalpie">
    <w:name w:val="footnote reference"/>
    <w:basedOn w:val="Fuentedeprrafopredeter"/>
    <w:rsid w:val="000B7548"/>
    <w:rPr>
      <w:vertAlign w:val="superscript"/>
    </w:rPr>
  </w:style>
  <w:style w:type="paragraph" w:styleId="Encabezado">
    <w:name w:val="header"/>
    <w:basedOn w:val="Normal"/>
    <w:link w:val="EncabezadoCar"/>
    <w:rsid w:val="00EE2D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E2DD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EE2D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DD5"/>
    <w:rPr>
      <w:sz w:val="24"/>
      <w:szCs w:val="24"/>
    </w:rPr>
  </w:style>
  <w:style w:type="table" w:styleId="Tablaconcuadrcula">
    <w:name w:val="Table Grid"/>
    <w:basedOn w:val="Tablanormal"/>
    <w:uiPriority w:val="39"/>
    <w:rsid w:val="00EE2DD5"/>
    <w:rPr>
      <w:rFonts w:asciiTheme="minorHAnsi" w:eastAsiaTheme="minorHAnsi" w:hAnsiTheme="minorHAnsi" w:cstheme="minorBidi"/>
      <w:sz w:val="24"/>
      <w:szCs w:val="24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E2D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E2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B7548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0B754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B7548"/>
  </w:style>
  <w:style w:type="character" w:styleId="Refdenotaalpie">
    <w:name w:val="footnote reference"/>
    <w:basedOn w:val="Fuentedeprrafopredeter"/>
    <w:rsid w:val="000B7548"/>
    <w:rPr>
      <w:vertAlign w:val="superscript"/>
    </w:rPr>
  </w:style>
  <w:style w:type="paragraph" w:styleId="Encabezado">
    <w:name w:val="header"/>
    <w:basedOn w:val="Normal"/>
    <w:link w:val="EncabezadoCar"/>
    <w:rsid w:val="00EE2D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E2DD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EE2D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DD5"/>
    <w:rPr>
      <w:sz w:val="24"/>
      <w:szCs w:val="24"/>
    </w:rPr>
  </w:style>
  <w:style w:type="table" w:styleId="Tablaconcuadrcula">
    <w:name w:val="Table Grid"/>
    <w:basedOn w:val="Tablanormal"/>
    <w:uiPriority w:val="39"/>
    <w:rsid w:val="00EE2DD5"/>
    <w:rPr>
      <w:rFonts w:asciiTheme="minorHAnsi" w:eastAsiaTheme="minorHAnsi" w:hAnsiTheme="minorHAnsi" w:cstheme="minorBidi"/>
      <w:sz w:val="24"/>
      <w:szCs w:val="24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E2D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E2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nder2mou.org/wp-content/uploads/2015/04/Under2-MOU-Spanish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under2mou.org/wp-content/uploads/2015/05/Navarra-appendix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rreoweb.navarra.es/owa/redir.aspx?SURL=3z5siTyYYArHtPZ8E1-W82YfJHqdCPttrIZG5haBv8yVGpaU5nDUCGgAdAB0AHAAcwA6AC8ALwB3AHcAdwAuAHQAaABlAGMAbABpAG0AYQB0AGUAZwByAG8AdQBwAC4AbwByAGcALwBwAHIAbwBqAGUAYwB0AC8AYwBvAG0AcABhAGMAdAAtAHMAdABhAHQAZQBzAC0AYQBuAGQALQByAGUAZwBpAG8AbgBzAA..&amp;URL=https%3a%2f%2fwww.theclimategroup.org%2fproject%2fcompact-states-and-region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theclimategroup.org/RE100" TargetMode="External"/><Relationship Id="rId10" Type="http://schemas.openxmlformats.org/officeDocument/2006/relationships/hyperlink" Target="http://na.bruselas.site/es/paquete-energia-ue-ficha-tecnic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unfccc.int/focus/indc_portal/items/8766.php" TargetMode="External"/><Relationship Id="rId14" Type="http://schemas.openxmlformats.org/officeDocument/2006/relationships/hyperlink" Target="https://www.theclimategroup.org/news/energy-transition-platform-overvie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CEEC0-CDE4-49DE-ABE8-2D78816C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Irujo Amezaga, Mikel (Delegado del GN en Bruselas)</dc:creator>
  <cp:lastModifiedBy>Irujo Amezaga, Mikel (Delegado del GN en Bruselas)</cp:lastModifiedBy>
  <cp:revision>2</cp:revision>
  <dcterms:created xsi:type="dcterms:W3CDTF">2017-03-22T06:16:00Z</dcterms:created>
  <dcterms:modified xsi:type="dcterms:W3CDTF">2017-03-22T06:16:00Z</dcterms:modified>
</cp:coreProperties>
</file>