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B3695B" w14:textId="77777777" w:rsidR="001927FA" w:rsidRPr="001F4C1E" w:rsidRDefault="001927FA" w:rsidP="0066210A">
      <w:pPr>
        <w:spacing w:after="0" w:line="240" w:lineRule="auto"/>
        <w:jc w:val="both"/>
        <w:rPr>
          <w:rFonts w:eastAsia="Times New Roman" w:cstheme="minorHAnsi"/>
          <w:b/>
          <w:bCs/>
          <w:color w:val="212121"/>
          <w:lang w:eastAsia="es-ES"/>
        </w:rPr>
      </w:pPr>
    </w:p>
    <w:p w14:paraId="376FA34E" w14:textId="41CAEA5B" w:rsidR="00AA367D" w:rsidRPr="0080526F" w:rsidRDefault="0080526F" w:rsidP="0080526F">
      <w:pPr>
        <w:spacing w:after="0" w:line="240" w:lineRule="auto"/>
        <w:jc w:val="center"/>
        <w:rPr>
          <w:rFonts w:eastAsia="Times New Roman" w:cstheme="minorHAnsi"/>
          <w:color w:val="212121"/>
          <w:sz w:val="28"/>
          <w:szCs w:val="28"/>
          <w:lang w:eastAsia="es-ES"/>
        </w:rPr>
      </w:pPr>
      <w:r w:rsidRPr="0080526F">
        <w:rPr>
          <w:rFonts w:eastAsia="Times New Roman" w:cstheme="minorHAnsi"/>
          <w:b/>
          <w:bCs/>
          <w:color w:val="212121"/>
          <w:sz w:val="28"/>
          <w:szCs w:val="28"/>
          <w:lang w:eastAsia="es-ES"/>
        </w:rPr>
        <w:t xml:space="preserve">2017 CEF </w:t>
      </w:r>
      <w:proofErr w:type="spellStart"/>
      <w:r w:rsidRPr="0080526F">
        <w:rPr>
          <w:rFonts w:eastAsia="Times New Roman" w:cstheme="minorHAnsi"/>
          <w:b/>
          <w:bCs/>
          <w:color w:val="212121"/>
          <w:sz w:val="28"/>
          <w:szCs w:val="28"/>
          <w:lang w:eastAsia="es-ES"/>
        </w:rPr>
        <w:t>Transport</w:t>
      </w:r>
      <w:proofErr w:type="spellEnd"/>
      <w:r w:rsidRPr="0080526F">
        <w:rPr>
          <w:rFonts w:eastAsia="Times New Roman" w:cstheme="minorHAnsi"/>
          <w:b/>
          <w:bCs/>
          <w:color w:val="212121"/>
          <w:sz w:val="28"/>
          <w:szCs w:val="28"/>
          <w:lang w:eastAsia="es-ES"/>
        </w:rPr>
        <w:t xml:space="preserve"> </w:t>
      </w:r>
      <w:proofErr w:type="spellStart"/>
      <w:r w:rsidRPr="0080526F">
        <w:rPr>
          <w:rFonts w:eastAsia="Times New Roman" w:cstheme="minorHAnsi"/>
          <w:b/>
          <w:bCs/>
          <w:color w:val="212121"/>
          <w:sz w:val="28"/>
          <w:szCs w:val="28"/>
          <w:lang w:eastAsia="es-ES"/>
        </w:rPr>
        <w:t>Blending</w:t>
      </w:r>
      <w:proofErr w:type="spellEnd"/>
      <w:r w:rsidRPr="0080526F">
        <w:rPr>
          <w:rFonts w:eastAsia="Times New Roman" w:cstheme="minorHAnsi"/>
          <w:b/>
          <w:bCs/>
          <w:color w:val="212121"/>
          <w:sz w:val="28"/>
          <w:szCs w:val="28"/>
          <w:lang w:eastAsia="es-ES"/>
        </w:rPr>
        <w:t xml:space="preserve"> MAP </w:t>
      </w:r>
      <w:proofErr w:type="spellStart"/>
      <w:r w:rsidRPr="0080526F">
        <w:rPr>
          <w:rFonts w:eastAsia="Times New Roman" w:cstheme="minorHAnsi"/>
          <w:b/>
          <w:bCs/>
          <w:color w:val="212121"/>
          <w:sz w:val="28"/>
          <w:szCs w:val="28"/>
          <w:lang w:eastAsia="es-ES"/>
        </w:rPr>
        <w:t>Call</w:t>
      </w:r>
      <w:proofErr w:type="spellEnd"/>
    </w:p>
    <w:p w14:paraId="351A0B8D" w14:textId="77777777" w:rsidR="0088380F" w:rsidRDefault="0088380F" w:rsidP="0066210A">
      <w:pPr>
        <w:spacing w:after="0" w:line="240" w:lineRule="auto"/>
        <w:jc w:val="both"/>
        <w:rPr>
          <w:rFonts w:eastAsia="Times New Roman" w:cstheme="minorHAnsi"/>
          <w:color w:val="212121"/>
          <w:lang w:eastAsia="es-ES"/>
        </w:rPr>
      </w:pPr>
    </w:p>
    <w:p w14:paraId="208D8651" w14:textId="77777777" w:rsidR="0080526F" w:rsidRPr="001F4C1E" w:rsidRDefault="0080526F" w:rsidP="0066210A">
      <w:pPr>
        <w:spacing w:after="0" w:line="240" w:lineRule="auto"/>
        <w:jc w:val="both"/>
        <w:rPr>
          <w:rFonts w:eastAsia="Times New Roman" w:cstheme="minorHAnsi"/>
          <w:color w:val="212121"/>
          <w:lang w:eastAsia="es-ES"/>
        </w:rPr>
      </w:pPr>
    </w:p>
    <w:p w14:paraId="67165A89" w14:textId="0E3EC019" w:rsidR="00452103" w:rsidRDefault="00452103" w:rsidP="0066210A">
      <w:pPr>
        <w:spacing w:after="0" w:line="240" w:lineRule="auto"/>
        <w:jc w:val="both"/>
        <w:rPr>
          <w:rFonts w:eastAsia="Times New Roman" w:cstheme="minorHAnsi"/>
          <w:color w:val="212121"/>
          <w:lang w:eastAsia="es-ES"/>
        </w:rPr>
      </w:pPr>
      <w:r w:rsidRPr="001F4C1E">
        <w:rPr>
          <w:rFonts w:eastAsia="Times New Roman" w:cstheme="minorHAnsi"/>
          <w:color w:val="212121"/>
          <w:lang w:eastAsia="es-ES"/>
        </w:rPr>
        <w:t>El lunes 27 de febrero se celebró un </w:t>
      </w:r>
      <w:proofErr w:type="spellStart"/>
      <w:r w:rsidRPr="001F4C1E">
        <w:rPr>
          <w:rFonts w:eastAsia="Times New Roman" w:cstheme="minorHAnsi"/>
          <w:b/>
          <w:bCs/>
          <w:color w:val="212121"/>
          <w:lang w:eastAsia="es-ES"/>
        </w:rPr>
        <w:t>Infoday</w:t>
      </w:r>
      <w:proofErr w:type="spellEnd"/>
      <w:r w:rsidRPr="001F4C1E">
        <w:rPr>
          <w:rFonts w:eastAsia="Times New Roman" w:cstheme="minorHAnsi"/>
          <w:b/>
          <w:bCs/>
          <w:color w:val="212121"/>
          <w:lang w:eastAsia="es-ES"/>
        </w:rPr>
        <w:t xml:space="preserve"> sobre la Convocatoria mixta de </w:t>
      </w:r>
      <w:r w:rsidR="0066210A" w:rsidRPr="001F4C1E">
        <w:rPr>
          <w:rFonts w:eastAsia="Times New Roman" w:cstheme="minorHAnsi"/>
          <w:b/>
          <w:bCs/>
          <w:color w:val="212121"/>
          <w:lang w:eastAsia="es-ES"/>
        </w:rPr>
        <w:t>t</w:t>
      </w:r>
      <w:r w:rsidRPr="001F4C1E">
        <w:rPr>
          <w:rFonts w:eastAsia="Times New Roman" w:cstheme="minorHAnsi"/>
          <w:b/>
          <w:bCs/>
          <w:color w:val="212121"/>
          <w:lang w:eastAsia="es-ES"/>
        </w:rPr>
        <w:t>ransportes del CEF</w:t>
      </w:r>
      <w:r w:rsidRPr="001F4C1E">
        <w:rPr>
          <w:rFonts w:eastAsia="Times New Roman" w:cstheme="minorHAnsi"/>
          <w:color w:val="212121"/>
          <w:lang w:eastAsia="es-ES"/>
        </w:rPr>
        <w:t xml:space="preserve"> (CEF </w:t>
      </w:r>
      <w:proofErr w:type="spellStart"/>
      <w:r w:rsidRPr="001F4C1E">
        <w:rPr>
          <w:rFonts w:eastAsia="Times New Roman" w:cstheme="minorHAnsi"/>
          <w:color w:val="212121"/>
          <w:lang w:eastAsia="es-ES"/>
        </w:rPr>
        <w:t>Transport</w:t>
      </w:r>
      <w:proofErr w:type="spellEnd"/>
      <w:r w:rsidRPr="001F4C1E">
        <w:rPr>
          <w:rFonts w:eastAsia="Times New Roman" w:cstheme="minorHAnsi"/>
          <w:color w:val="212121"/>
          <w:lang w:eastAsia="es-ES"/>
        </w:rPr>
        <w:t xml:space="preserve"> </w:t>
      </w:r>
      <w:proofErr w:type="spellStart"/>
      <w:r w:rsidRPr="001F4C1E">
        <w:rPr>
          <w:rFonts w:eastAsia="Times New Roman" w:cstheme="minorHAnsi"/>
          <w:color w:val="212121"/>
          <w:lang w:eastAsia="es-ES"/>
        </w:rPr>
        <w:t>Blending</w:t>
      </w:r>
      <w:proofErr w:type="spellEnd"/>
      <w:r w:rsidRPr="001F4C1E">
        <w:rPr>
          <w:rFonts w:eastAsia="Times New Roman" w:cstheme="minorHAnsi"/>
          <w:color w:val="212121"/>
          <w:lang w:eastAsia="es-ES"/>
        </w:rPr>
        <w:t>).</w:t>
      </w:r>
    </w:p>
    <w:p w14:paraId="185C478A" w14:textId="77777777" w:rsidR="001F4C1E" w:rsidRDefault="001F4C1E" w:rsidP="0066210A">
      <w:pPr>
        <w:spacing w:after="0" w:line="240" w:lineRule="auto"/>
        <w:jc w:val="both"/>
        <w:rPr>
          <w:rFonts w:eastAsia="Times New Roman" w:cstheme="minorHAnsi"/>
          <w:color w:val="212121"/>
          <w:lang w:eastAsia="es-ES"/>
        </w:rPr>
      </w:pPr>
      <w:bookmarkStart w:id="0" w:name="_GoBack"/>
      <w:bookmarkEnd w:id="0"/>
    </w:p>
    <w:p w14:paraId="27314569" w14:textId="1224891A" w:rsidR="001F4C1E" w:rsidRDefault="00FB55C5" w:rsidP="001F4C1E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r>
        <w:rPr>
          <w:rFonts w:eastAsia="Times New Roman" w:cstheme="minorHAnsi"/>
          <w:color w:val="000000"/>
          <w:lang w:eastAsia="es-ES"/>
        </w:rPr>
        <w:t>El</w:t>
      </w:r>
      <w:r w:rsidR="001F4C1E" w:rsidRPr="001F4C1E">
        <w:rPr>
          <w:rFonts w:eastAsia="Times New Roman" w:cstheme="minorHAnsi"/>
          <w:color w:val="000000"/>
          <w:lang w:eastAsia="es-ES"/>
        </w:rPr>
        <w:t xml:space="preserve"> objetivo específico de la convocatoria es</w:t>
      </w:r>
      <w:r w:rsidR="001F4C1E">
        <w:rPr>
          <w:rFonts w:eastAsia="Times New Roman" w:cstheme="minorHAnsi"/>
          <w:color w:val="000000"/>
          <w:lang w:eastAsia="es-ES"/>
        </w:rPr>
        <w:t xml:space="preserve"> </w:t>
      </w:r>
      <w:r>
        <w:rPr>
          <w:rFonts w:eastAsia="Times New Roman" w:cstheme="minorHAnsi"/>
          <w:color w:val="000000"/>
          <w:lang w:eastAsia="es-ES"/>
        </w:rPr>
        <w:t>que, a</w:t>
      </w:r>
      <w:r w:rsidR="001F4C1E" w:rsidRPr="001F4C1E">
        <w:rPr>
          <w:rFonts w:eastAsia="Times New Roman" w:cstheme="minorHAnsi"/>
          <w:color w:val="000000"/>
          <w:lang w:eastAsia="es-ES"/>
        </w:rPr>
        <w:t xml:space="preserve"> través de la </w:t>
      </w:r>
      <w:r>
        <w:rPr>
          <w:rFonts w:eastAsia="Times New Roman" w:cstheme="minorHAnsi"/>
          <w:color w:val="000000"/>
          <w:lang w:eastAsia="es-ES"/>
        </w:rPr>
        <w:t>“</w:t>
      </w:r>
      <w:r w:rsidR="001F4C1E" w:rsidRPr="001F4C1E">
        <w:rPr>
          <w:rFonts w:eastAsia="Times New Roman" w:cstheme="minorHAnsi"/>
          <w:color w:val="000000"/>
          <w:lang w:eastAsia="es-ES"/>
        </w:rPr>
        <w:t>mezcla</w:t>
      </w:r>
      <w:r>
        <w:rPr>
          <w:rFonts w:eastAsia="Times New Roman" w:cstheme="minorHAnsi"/>
          <w:color w:val="000000"/>
          <w:lang w:eastAsia="es-ES"/>
        </w:rPr>
        <w:t>” (</w:t>
      </w:r>
      <w:proofErr w:type="spellStart"/>
      <w:r w:rsidRPr="00462B9D">
        <w:rPr>
          <w:rFonts w:eastAsia="Times New Roman" w:cstheme="minorHAnsi"/>
          <w:i/>
          <w:color w:val="000000"/>
          <w:lang w:eastAsia="es-ES"/>
        </w:rPr>
        <w:t>blending</w:t>
      </w:r>
      <w:proofErr w:type="spellEnd"/>
      <w:r>
        <w:rPr>
          <w:rFonts w:eastAsia="Times New Roman" w:cstheme="minorHAnsi"/>
          <w:color w:val="000000"/>
          <w:lang w:eastAsia="es-ES"/>
        </w:rPr>
        <w:t>) de capital, préstamos y/o</w:t>
      </w:r>
      <w:r w:rsidR="001F4C1E" w:rsidRPr="001F4C1E">
        <w:rPr>
          <w:rFonts w:eastAsia="Times New Roman" w:cstheme="minorHAnsi"/>
          <w:color w:val="000000"/>
          <w:lang w:eastAsia="es-ES"/>
        </w:rPr>
        <w:t xml:space="preserve"> garantías, </w:t>
      </w:r>
      <w:r>
        <w:rPr>
          <w:rFonts w:eastAsia="Times New Roman" w:cstheme="minorHAnsi"/>
          <w:color w:val="000000"/>
          <w:lang w:eastAsia="es-ES"/>
        </w:rPr>
        <w:t xml:space="preserve">conseguir </w:t>
      </w:r>
      <w:r w:rsidR="001F4C1E" w:rsidRPr="001F4C1E">
        <w:rPr>
          <w:rFonts w:eastAsia="Times New Roman" w:cstheme="minorHAnsi"/>
          <w:color w:val="000000"/>
          <w:lang w:eastAsia="es-ES"/>
        </w:rPr>
        <w:t>la participación de</w:t>
      </w:r>
      <w:r w:rsidR="001F4C1E">
        <w:rPr>
          <w:rFonts w:eastAsia="Times New Roman" w:cstheme="minorHAnsi"/>
          <w:color w:val="000000"/>
          <w:lang w:eastAsia="es-ES"/>
        </w:rPr>
        <w:t xml:space="preserve"> </w:t>
      </w:r>
      <w:r w:rsidR="001F4C1E" w:rsidRPr="001F4C1E">
        <w:rPr>
          <w:rFonts w:eastAsia="Times New Roman" w:cstheme="minorHAnsi"/>
          <w:color w:val="000000"/>
          <w:lang w:eastAsia="es-ES"/>
        </w:rPr>
        <w:t>Sector privado en la financiación de las RTE-T</w:t>
      </w:r>
      <w:r w:rsidR="001F4C1E">
        <w:rPr>
          <w:rFonts w:eastAsia="Times New Roman" w:cstheme="minorHAnsi"/>
          <w:color w:val="000000"/>
          <w:lang w:eastAsia="es-ES"/>
        </w:rPr>
        <w:t xml:space="preserve"> </w:t>
      </w:r>
      <w:r w:rsidR="001F4C1E" w:rsidRPr="001F4C1E">
        <w:rPr>
          <w:rFonts w:eastAsia="Times New Roman" w:cstheme="minorHAnsi"/>
          <w:color w:val="000000"/>
          <w:lang w:eastAsia="es-ES"/>
        </w:rPr>
        <w:t>Proyectos, como complemento de la</w:t>
      </w:r>
      <w:r w:rsidR="001F4C1E">
        <w:rPr>
          <w:rFonts w:eastAsia="Times New Roman" w:cstheme="minorHAnsi"/>
          <w:color w:val="000000"/>
          <w:lang w:eastAsia="es-ES"/>
        </w:rPr>
        <w:t xml:space="preserve"> </w:t>
      </w:r>
      <w:r w:rsidR="001F4C1E" w:rsidRPr="001F4C1E">
        <w:rPr>
          <w:rFonts w:eastAsia="Times New Roman" w:cstheme="minorHAnsi"/>
          <w:color w:val="000000"/>
          <w:lang w:eastAsia="es-ES"/>
        </w:rPr>
        <w:t>Subvención.</w:t>
      </w:r>
    </w:p>
    <w:p w14:paraId="5F9C18B4" w14:textId="77777777" w:rsidR="00452103" w:rsidRPr="001F4C1E" w:rsidRDefault="00452103" w:rsidP="0066210A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r w:rsidRPr="001F4C1E">
        <w:rPr>
          <w:rFonts w:eastAsia="Times New Roman" w:cstheme="minorHAnsi"/>
          <w:color w:val="000000"/>
          <w:lang w:eastAsia="es-ES"/>
        </w:rPr>
        <w:t> </w:t>
      </w:r>
    </w:p>
    <w:tbl>
      <w:tblPr>
        <w:tblStyle w:val="Tablaconcuadrcula"/>
        <w:tblW w:w="10773" w:type="dxa"/>
        <w:tblInd w:w="-1026" w:type="dxa"/>
        <w:tblLook w:val="04A0" w:firstRow="1" w:lastRow="0" w:firstColumn="1" w:lastColumn="0" w:noHBand="0" w:noVBand="1"/>
      </w:tblPr>
      <w:tblGrid>
        <w:gridCol w:w="4253"/>
        <w:gridCol w:w="4819"/>
        <w:gridCol w:w="1701"/>
      </w:tblGrid>
      <w:tr w:rsidR="0088380F" w:rsidRPr="001F4C1E" w14:paraId="2CB14C18" w14:textId="77777777" w:rsidTr="001F4C1E">
        <w:tc>
          <w:tcPr>
            <w:tcW w:w="4253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53E5087" w14:textId="587F042A" w:rsidR="0088380F" w:rsidRPr="001F4C1E" w:rsidRDefault="0088380F" w:rsidP="001F4C1E">
            <w:pPr>
              <w:jc w:val="center"/>
              <w:rPr>
                <w:rFonts w:eastAsia="Times New Roman" w:cstheme="minorHAnsi"/>
                <w:b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b/>
                <w:color w:val="212121"/>
                <w:lang w:eastAsia="es-ES"/>
              </w:rPr>
              <w:t>OBJETIVOS</w:t>
            </w:r>
            <w:r w:rsidR="001F4C1E">
              <w:rPr>
                <w:rFonts w:eastAsia="Times New Roman" w:cstheme="minorHAnsi"/>
                <w:b/>
                <w:color w:val="212121"/>
                <w:lang w:eastAsia="es-ES"/>
              </w:rPr>
              <w:t xml:space="preserve"> TEMÁTICOS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2A411DA" w14:textId="7962BC98" w:rsidR="0088380F" w:rsidRPr="001F4C1E" w:rsidRDefault="0088380F" w:rsidP="001F4C1E">
            <w:pPr>
              <w:jc w:val="center"/>
              <w:rPr>
                <w:rFonts w:eastAsia="Times New Roman" w:cstheme="minorHAnsi"/>
                <w:b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b/>
                <w:color w:val="212121"/>
                <w:lang w:eastAsia="es-ES"/>
              </w:rPr>
              <w:t>PRIORIDADES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B4DA49F" w14:textId="5BEA1AD6" w:rsidR="0088380F" w:rsidRPr="001F4C1E" w:rsidRDefault="0088380F" w:rsidP="001F4C1E">
            <w:pPr>
              <w:jc w:val="center"/>
              <w:rPr>
                <w:rFonts w:eastAsia="Times New Roman" w:cstheme="minorHAnsi"/>
                <w:b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b/>
                <w:color w:val="212121"/>
                <w:lang w:eastAsia="es-ES"/>
              </w:rPr>
              <w:t>PRESUPUESTO</w:t>
            </w:r>
          </w:p>
        </w:tc>
      </w:tr>
      <w:tr w:rsidR="0088380F" w:rsidRPr="001F4C1E" w14:paraId="7EA59B15" w14:textId="77777777" w:rsidTr="001F4C1E">
        <w:tc>
          <w:tcPr>
            <w:tcW w:w="4253" w:type="dxa"/>
            <w:shd w:val="clear" w:color="auto" w:fill="D5DCE4" w:themeFill="text2" w:themeFillTint="33"/>
            <w:vAlign w:val="center"/>
          </w:tcPr>
          <w:p w14:paraId="77C5259C" w14:textId="663B1140" w:rsidR="001F4C1E" w:rsidRPr="001F4C1E" w:rsidRDefault="001F4C1E" w:rsidP="001F4C1E">
            <w:pPr>
              <w:jc w:val="both"/>
              <w:rPr>
                <w:rFonts w:cstheme="minorHAnsi"/>
                <w:color w:val="212121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1.</w:t>
            </w:r>
            <w:r w:rsidRPr="001F4C1E">
              <w:rPr>
                <w:rFonts w:cstheme="minorHAnsi"/>
                <w:color w:val="212121"/>
              </w:rPr>
              <w:t xml:space="preserve"> La eliminación de cuellos de botella y la reducción de los enlaces que faltan, la mejora de la interoperabilidad ferroviaria, y, en particular, la mejora de los tramos transfronterizos</w:t>
            </w:r>
          </w:p>
          <w:p w14:paraId="473673F1" w14:textId="1085D546" w:rsidR="001F4C1E" w:rsidRPr="001F4C1E" w:rsidRDefault="001F4C1E" w:rsidP="001F4C1E">
            <w:pPr>
              <w:jc w:val="both"/>
            </w:pPr>
            <w:r w:rsidRPr="001F4C1E">
              <w:t> </w:t>
            </w:r>
            <w:r w:rsidRPr="001F4C1E">
              <w:br/>
              <w:t xml:space="preserve">2. Asegurar los sistemas de transporte eficientes y sostenibles en el largo plazo, con vistas a la preparación de los flujos de transporte futuros esperados, así como permitiendo a todos los modos de transporte que se </w:t>
            </w:r>
            <w:proofErr w:type="spellStart"/>
            <w:r w:rsidRPr="001F4C1E">
              <w:t>descarbonizado</w:t>
            </w:r>
            <w:proofErr w:type="spellEnd"/>
            <w:r w:rsidRPr="001F4C1E">
              <w:t xml:space="preserve"> través de la transición a la innovadora baja en carbono y tecnologías de transporte energéticamente eficientes, optimizando al mismo tiempo la seguridad</w:t>
            </w:r>
          </w:p>
          <w:p w14:paraId="0F0ACECD" w14:textId="77777777" w:rsidR="001F4C1E" w:rsidRPr="001F4C1E" w:rsidRDefault="001F4C1E" w:rsidP="001F4C1E">
            <w:pPr>
              <w:jc w:val="both"/>
              <w:rPr>
                <w:rFonts w:eastAsia="Times New Roman" w:cstheme="minorHAnsi"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 </w:t>
            </w:r>
          </w:p>
          <w:p w14:paraId="28C0F083" w14:textId="389C6A8C" w:rsidR="0088380F" w:rsidRPr="001F4C1E" w:rsidRDefault="001F4C1E" w:rsidP="001F4C1E">
            <w:pPr>
              <w:jc w:val="both"/>
              <w:rPr>
                <w:rFonts w:eastAsia="Times New Roman" w:cstheme="minorHAnsi"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3. Optimización de la integración y la interconexión de los modos de transporte y la mejora de la interoperabilidad de los servicios de transporte, al tiempo que garantiza la accesibilidad de las infraestructuras de transporte</w:t>
            </w:r>
          </w:p>
        </w:tc>
        <w:tc>
          <w:tcPr>
            <w:tcW w:w="4819" w:type="dxa"/>
            <w:shd w:val="clear" w:color="auto" w:fill="D5DCE4" w:themeFill="text2" w:themeFillTint="33"/>
            <w:vAlign w:val="center"/>
          </w:tcPr>
          <w:p w14:paraId="6B804C40" w14:textId="77777777" w:rsidR="001F4C1E" w:rsidRPr="001F4C1E" w:rsidRDefault="001F4C1E" w:rsidP="001F4C1E">
            <w:pPr>
              <w:numPr>
                <w:ilvl w:val="0"/>
                <w:numId w:val="3"/>
              </w:numPr>
              <w:rPr>
                <w:rFonts w:eastAsia="Times New Roman" w:cstheme="minorHAnsi"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Corredores de la red principal</w:t>
            </w:r>
          </w:p>
          <w:p w14:paraId="33FA35C7" w14:textId="77777777" w:rsidR="001F4C1E" w:rsidRPr="001F4C1E" w:rsidRDefault="001F4C1E" w:rsidP="001F4C1E">
            <w:pPr>
              <w:numPr>
                <w:ilvl w:val="0"/>
                <w:numId w:val="3"/>
              </w:numPr>
              <w:rPr>
                <w:rFonts w:eastAsia="Times New Roman" w:cstheme="minorHAnsi"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Otras secciones de la red básica</w:t>
            </w:r>
          </w:p>
          <w:p w14:paraId="20EDD6F5" w14:textId="77777777" w:rsidR="001F4C1E" w:rsidRPr="001F4C1E" w:rsidRDefault="001F4C1E" w:rsidP="001F4C1E">
            <w:pPr>
              <w:numPr>
                <w:ilvl w:val="0"/>
                <w:numId w:val="3"/>
              </w:numPr>
              <w:rPr>
                <w:rFonts w:eastAsia="Times New Roman" w:cstheme="minorHAnsi"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interoperabilidad del sistema ferroviario </w:t>
            </w:r>
          </w:p>
          <w:p w14:paraId="5F5C294D" w14:textId="77777777" w:rsidR="001F4C1E" w:rsidRPr="001F4C1E" w:rsidRDefault="001F4C1E" w:rsidP="001F4C1E">
            <w:pPr>
              <w:numPr>
                <w:ilvl w:val="0"/>
                <w:numId w:val="3"/>
              </w:numPr>
              <w:rPr>
                <w:rFonts w:eastAsia="Times New Roman" w:cstheme="minorHAnsi"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Sistema Europeo de Gestión del Tráfico Ferroviario (ERTMS)</w:t>
            </w:r>
          </w:p>
          <w:p w14:paraId="6DA966EE" w14:textId="77777777" w:rsidR="001F4C1E" w:rsidRPr="001F4C1E" w:rsidRDefault="001F4C1E" w:rsidP="001F4C1E">
            <w:pPr>
              <w:numPr>
                <w:ilvl w:val="0"/>
                <w:numId w:val="3"/>
              </w:numPr>
              <w:rPr>
                <w:rFonts w:eastAsia="Times New Roman" w:cstheme="minorHAnsi"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Nuevas Tecnologías y la Innovación</w:t>
            </w:r>
          </w:p>
          <w:p w14:paraId="16DEB140" w14:textId="77777777" w:rsidR="001F4C1E" w:rsidRPr="001F4C1E" w:rsidRDefault="001F4C1E" w:rsidP="001F4C1E">
            <w:pPr>
              <w:numPr>
                <w:ilvl w:val="0"/>
                <w:numId w:val="3"/>
              </w:numPr>
              <w:rPr>
                <w:rFonts w:eastAsia="Times New Roman" w:cstheme="minorHAnsi"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Infraestructura seguro y protegido</w:t>
            </w:r>
          </w:p>
          <w:p w14:paraId="7842903B" w14:textId="77777777" w:rsidR="001F4C1E" w:rsidRPr="001F4C1E" w:rsidRDefault="001F4C1E" w:rsidP="001F4C1E">
            <w:pPr>
              <w:numPr>
                <w:ilvl w:val="0"/>
                <w:numId w:val="3"/>
              </w:numPr>
              <w:rPr>
                <w:rFonts w:eastAsia="Times New Roman" w:cstheme="minorHAnsi"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Cielo único europeo - SESAR</w:t>
            </w:r>
          </w:p>
          <w:p w14:paraId="2CA4192D" w14:textId="77777777" w:rsidR="001F4C1E" w:rsidRPr="001F4C1E" w:rsidRDefault="001F4C1E" w:rsidP="001F4C1E">
            <w:pPr>
              <w:numPr>
                <w:ilvl w:val="0"/>
                <w:numId w:val="3"/>
              </w:numPr>
              <w:rPr>
                <w:rFonts w:eastAsia="Times New Roman" w:cstheme="minorHAnsi"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Servicios de transporte por carretera inteligentes (STI)</w:t>
            </w:r>
          </w:p>
          <w:p w14:paraId="2E66A2FF" w14:textId="77777777" w:rsidR="001F4C1E" w:rsidRPr="001F4C1E" w:rsidRDefault="001F4C1E" w:rsidP="001F4C1E">
            <w:pPr>
              <w:numPr>
                <w:ilvl w:val="0"/>
                <w:numId w:val="3"/>
              </w:numPr>
              <w:rPr>
                <w:rFonts w:eastAsia="Times New Roman" w:cstheme="minorHAnsi"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Autopistas del mar (MOS)</w:t>
            </w:r>
          </w:p>
          <w:p w14:paraId="3287EDB3" w14:textId="77777777" w:rsidR="001F4C1E" w:rsidRPr="001F4C1E" w:rsidRDefault="001F4C1E" w:rsidP="001F4C1E">
            <w:pPr>
              <w:numPr>
                <w:ilvl w:val="0"/>
                <w:numId w:val="3"/>
              </w:numPr>
              <w:rPr>
                <w:rFonts w:eastAsia="Times New Roman" w:cstheme="minorHAnsi"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Los nodos de la red básica</w:t>
            </w:r>
          </w:p>
          <w:p w14:paraId="23B6B66F" w14:textId="77777777" w:rsidR="001F4C1E" w:rsidRPr="001F4C1E" w:rsidRDefault="001F4C1E" w:rsidP="001F4C1E">
            <w:pPr>
              <w:numPr>
                <w:ilvl w:val="0"/>
                <w:numId w:val="3"/>
              </w:numPr>
              <w:rPr>
                <w:rFonts w:eastAsia="Times New Roman" w:cstheme="minorHAnsi"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plataformas logísticas multimodales</w:t>
            </w:r>
          </w:p>
          <w:p w14:paraId="0CD7A97C" w14:textId="77777777" w:rsidR="0088380F" w:rsidRPr="001F4C1E" w:rsidRDefault="0088380F" w:rsidP="001F4C1E">
            <w:pPr>
              <w:rPr>
                <w:rFonts w:eastAsia="Times New Roman" w:cstheme="minorHAnsi"/>
                <w:color w:val="212121"/>
                <w:lang w:eastAsia="es-ES"/>
              </w:rPr>
            </w:pPr>
          </w:p>
        </w:tc>
        <w:tc>
          <w:tcPr>
            <w:tcW w:w="1701" w:type="dxa"/>
            <w:shd w:val="clear" w:color="auto" w:fill="D5DCE4" w:themeFill="text2" w:themeFillTint="33"/>
            <w:vAlign w:val="center"/>
          </w:tcPr>
          <w:p w14:paraId="7F46ED9A" w14:textId="56AD5C55" w:rsidR="0088380F" w:rsidRDefault="001F4C1E" w:rsidP="001F4C1E">
            <w:pPr>
              <w:rPr>
                <w:rFonts w:eastAsia="Times New Roman" w:cstheme="minorHAnsi"/>
                <w:color w:val="212121"/>
                <w:lang w:eastAsia="es-ES"/>
              </w:rPr>
            </w:pPr>
            <w:r w:rsidRPr="001F4C1E">
              <w:rPr>
                <w:rFonts w:eastAsia="Times New Roman" w:cstheme="minorHAnsi"/>
                <w:color w:val="212121"/>
                <w:lang w:eastAsia="es-ES"/>
              </w:rPr>
              <w:t>1</w:t>
            </w:r>
            <w:r w:rsidR="00FB55C5">
              <w:rPr>
                <w:rFonts w:eastAsia="Times New Roman" w:cstheme="minorHAnsi"/>
                <w:color w:val="212121"/>
                <w:lang w:eastAsia="es-ES"/>
              </w:rPr>
              <w:t>.000</w:t>
            </w:r>
            <w:r w:rsidRPr="001F4C1E">
              <w:rPr>
                <w:rFonts w:eastAsia="Times New Roman" w:cstheme="minorHAnsi"/>
                <w:color w:val="212121"/>
                <w:lang w:eastAsia="es-ES"/>
              </w:rPr>
              <w:t xml:space="preserve"> </w:t>
            </w:r>
            <w:r w:rsidR="00FB55C5">
              <w:rPr>
                <w:rFonts w:eastAsia="Times New Roman" w:cstheme="minorHAnsi"/>
                <w:color w:val="212121"/>
                <w:lang w:eastAsia="es-ES"/>
              </w:rPr>
              <w:t>M</w:t>
            </w:r>
            <w:r w:rsidRPr="001F4C1E">
              <w:rPr>
                <w:rFonts w:eastAsia="Times New Roman" w:cstheme="minorHAnsi"/>
                <w:color w:val="212121"/>
                <w:lang w:eastAsia="es-ES"/>
              </w:rPr>
              <w:t xml:space="preserve"> €</w:t>
            </w:r>
          </w:p>
          <w:p w14:paraId="1D004BA9" w14:textId="77777777" w:rsidR="00FB55C5" w:rsidRDefault="00FB55C5" w:rsidP="001F4C1E">
            <w:pPr>
              <w:rPr>
                <w:rFonts w:eastAsia="Times New Roman" w:cstheme="minorHAnsi"/>
                <w:color w:val="212121"/>
                <w:lang w:eastAsia="es-ES"/>
              </w:rPr>
            </w:pPr>
          </w:p>
          <w:p w14:paraId="2F634C51" w14:textId="0F738291" w:rsidR="00FB55C5" w:rsidRDefault="00FB55C5" w:rsidP="001F4C1E">
            <w:pPr>
              <w:rPr>
                <w:rFonts w:eastAsia="Times New Roman" w:cstheme="minorHAnsi"/>
                <w:color w:val="212121"/>
                <w:lang w:eastAsia="es-ES"/>
              </w:rPr>
            </w:pPr>
            <w:r>
              <w:rPr>
                <w:rFonts w:eastAsia="Times New Roman" w:cstheme="minorHAnsi"/>
                <w:color w:val="212121"/>
                <w:lang w:eastAsia="es-ES"/>
              </w:rPr>
              <w:t>Reparto:</w:t>
            </w:r>
          </w:p>
          <w:p w14:paraId="5F161671" w14:textId="77777777" w:rsidR="00FB55C5" w:rsidRDefault="00FB55C5" w:rsidP="001F4C1E">
            <w:pPr>
              <w:rPr>
                <w:rFonts w:eastAsia="Times New Roman" w:cstheme="minorHAnsi"/>
                <w:color w:val="212121"/>
                <w:lang w:eastAsia="es-ES"/>
              </w:rPr>
            </w:pPr>
          </w:p>
          <w:p w14:paraId="6D67E3A9" w14:textId="5D649E8F" w:rsidR="00FB55C5" w:rsidRPr="00FB55C5" w:rsidRDefault="00FB55C5" w:rsidP="001F4C1E">
            <w:pPr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</w:pPr>
            <w:r w:rsidRPr="00FB55C5"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  <w:t xml:space="preserve">450 </w:t>
            </w:r>
            <w:proofErr w:type="spellStart"/>
            <w:r w:rsidRPr="00FB55C5"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  <w:t>M€para</w:t>
            </w:r>
            <w:proofErr w:type="spellEnd"/>
            <w:r w:rsidRPr="00FB55C5"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FB55C5"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  <w:t>core</w:t>
            </w:r>
            <w:proofErr w:type="spellEnd"/>
            <w:r w:rsidRPr="00FB55C5"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  <w:t xml:space="preserve"> </w:t>
            </w:r>
            <w:proofErr w:type="spellStart"/>
            <w:r w:rsidRPr="00FB55C5"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  <w:t>networks</w:t>
            </w:r>
            <w:proofErr w:type="spellEnd"/>
          </w:p>
          <w:p w14:paraId="1BE0E00E" w14:textId="77777777" w:rsidR="00FB55C5" w:rsidRPr="00FB55C5" w:rsidRDefault="00FB55C5" w:rsidP="001F4C1E">
            <w:pPr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</w:pPr>
          </w:p>
          <w:p w14:paraId="3DC970F2" w14:textId="77777777" w:rsidR="00FB55C5" w:rsidRPr="00FB55C5" w:rsidRDefault="00FB55C5" w:rsidP="001F4C1E">
            <w:pPr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</w:pPr>
            <w:r w:rsidRPr="00FB55C5"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  <w:t xml:space="preserve">100 M€ “otras” secciones de </w:t>
            </w:r>
            <w:proofErr w:type="spellStart"/>
            <w:r w:rsidRPr="00FB55C5"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  <w:t>Core</w:t>
            </w:r>
            <w:proofErr w:type="spellEnd"/>
            <w:r w:rsidRPr="00FB55C5"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  <w:t xml:space="preserve"> Network</w:t>
            </w:r>
          </w:p>
          <w:p w14:paraId="0EDDD12C" w14:textId="77777777" w:rsidR="00FB55C5" w:rsidRPr="00FB55C5" w:rsidRDefault="00FB55C5" w:rsidP="001F4C1E">
            <w:pPr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</w:pPr>
          </w:p>
          <w:p w14:paraId="1D2424EC" w14:textId="77777777" w:rsidR="00FB55C5" w:rsidRPr="00FB55C5" w:rsidRDefault="00FB55C5" w:rsidP="001F4C1E">
            <w:pPr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</w:pPr>
            <w:r w:rsidRPr="00FB55C5"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  <w:t>100 M€ ERTMS</w:t>
            </w:r>
          </w:p>
          <w:p w14:paraId="0EA93BEB" w14:textId="77777777" w:rsidR="00FB55C5" w:rsidRPr="00FB55C5" w:rsidRDefault="00FB55C5" w:rsidP="001F4C1E">
            <w:pPr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</w:pPr>
          </w:p>
          <w:p w14:paraId="0FBCF725" w14:textId="77777777" w:rsidR="00FB55C5" w:rsidRDefault="00FB55C5" w:rsidP="001F4C1E">
            <w:pPr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</w:pPr>
            <w:r w:rsidRPr="00FB55C5"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  <w:t>140 M€ Innovación</w:t>
            </w:r>
          </w:p>
          <w:p w14:paraId="2D8AB821" w14:textId="77777777" w:rsidR="00FB55C5" w:rsidRDefault="00FB55C5" w:rsidP="001F4C1E">
            <w:pPr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</w:pPr>
          </w:p>
          <w:p w14:paraId="3DC69418" w14:textId="38C66DFE" w:rsidR="00FB55C5" w:rsidRDefault="00FB55C5" w:rsidP="001F4C1E">
            <w:pPr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</w:pPr>
            <w:r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  <w:t>20 M€ Plataformas logísticas multimodales</w:t>
            </w:r>
          </w:p>
          <w:p w14:paraId="2F768762" w14:textId="77777777" w:rsidR="00FB55C5" w:rsidRDefault="00FB55C5" w:rsidP="001F4C1E">
            <w:pPr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</w:pPr>
          </w:p>
          <w:p w14:paraId="09FE7B6A" w14:textId="2A5C0A36" w:rsidR="00FB55C5" w:rsidRPr="00FB55C5" w:rsidRDefault="00FB55C5" w:rsidP="001F4C1E">
            <w:pPr>
              <w:rPr>
                <w:rFonts w:eastAsia="Times New Roman" w:cstheme="minorHAnsi"/>
                <w:color w:val="212121"/>
                <w:sz w:val="18"/>
                <w:szCs w:val="18"/>
                <w:lang w:eastAsia="es-ES"/>
              </w:rPr>
            </w:pPr>
            <w:hyperlink r:id="rId8" w:history="1">
              <w:r w:rsidRPr="00FB55C5">
                <w:rPr>
                  <w:rStyle w:val="Hipervnculo"/>
                  <w:rFonts w:eastAsia="Times New Roman" w:cstheme="minorHAnsi"/>
                  <w:sz w:val="18"/>
                  <w:szCs w:val="18"/>
                  <w:lang w:eastAsia="es-ES"/>
                </w:rPr>
                <w:t>Link</w:t>
              </w:r>
            </w:hyperlink>
          </w:p>
          <w:p w14:paraId="488DAFFF" w14:textId="0D6C531B" w:rsidR="00FB55C5" w:rsidRPr="001F4C1E" w:rsidRDefault="00FB55C5" w:rsidP="001F4C1E">
            <w:pPr>
              <w:rPr>
                <w:rFonts w:eastAsia="Times New Roman" w:cstheme="minorHAnsi"/>
                <w:color w:val="212121"/>
                <w:lang w:eastAsia="es-ES"/>
              </w:rPr>
            </w:pPr>
          </w:p>
        </w:tc>
      </w:tr>
    </w:tbl>
    <w:p w14:paraId="0365EEB2" w14:textId="713499D5" w:rsidR="0088380F" w:rsidRPr="001F4C1E" w:rsidRDefault="0088380F" w:rsidP="0066210A">
      <w:pPr>
        <w:spacing w:after="0" w:line="240" w:lineRule="auto"/>
        <w:jc w:val="both"/>
        <w:rPr>
          <w:rFonts w:eastAsia="Times New Roman" w:cstheme="minorHAnsi"/>
          <w:color w:val="212121"/>
          <w:lang w:eastAsia="es-ES"/>
        </w:rPr>
      </w:pPr>
    </w:p>
    <w:p w14:paraId="7882E499" w14:textId="77777777" w:rsidR="0088380F" w:rsidRPr="001F4C1E" w:rsidRDefault="0088380F" w:rsidP="0066210A">
      <w:pPr>
        <w:spacing w:after="0" w:line="240" w:lineRule="auto"/>
        <w:jc w:val="both"/>
        <w:rPr>
          <w:rFonts w:eastAsia="Times New Roman" w:cstheme="minorHAnsi"/>
          <w:color w:val="212121"/>
          <w:lang w:eastAsia="es-ES"/>
        </w:rPr>
      </w:pPr>
    </w:p>
    <w:p w14:paraId="026C908E" w14:textId="5C695C03" w:rsidR="00452103" w:rsidRPr="001F4C1E" w:rsidRDefault="001F4C1E" w:rsidP="001F4C1E">
      <w:pPr>
        <w:spacing w:after="0" w:line="240" w:lineRule="auto"/>
        <w:jc w:val="both"/>
        <w:rPr>
          <w:rFonts w:eastAsia="Times New Roman" w:cstheme="minorHAnsi"/>
          <w:color w:val="212121"/>
          <w:lang w:eastAsia="es-ES"/>
        </w:rPr>
      </w:pPr>
      <w:r w:rsidRPr="001F4C1E">
        <w:rPr>
          <w:rFonts w:eastAsia="Times New Roman" w:cstheme="minorHAnsi"/>
          <w:color w:val="212121"/>
          <w:lang w:eastAsia="es-ES"/>
        </w:rPr>
        <w:t>Plazos de la convocatoria</w:t>
      </w:r>
      <w:r w:rsidR="00452103" w:rsidRPr="001F4C1E">
        <w:rPr>
          <w:rFonts w:eastAsia="Times New Roman" w:cstheme="minorHAnsi"/>
          <w:color w:val="212121"/>
          <w:lang w:eastAsia="es-ES"/>
        </w:rPr>
        <w:t>: 14 de julio y  30 de noviembre</w:t>
      </w:r>
      <w:r w:rsidR="00462B9D">
        <w:rPr>
          <w:rFonts w:eastAsia="Times New Roman" w:cstheme="minorHAnsi"/>
          <w:color w:val="212121"/>
          <w:lang w:eastAsia="es-ES"/>
        </w:rPr>
        <w:t>.</w:t>
      </w:r>
    </w:p>
    <w:p w14:paraId="333EFFEF" w14:textId="77777777" w:rsidR="0088380F" w:rsidRPr="001F4C1E" w:rsidRDefault="0088380F" w:rsidP="001F4C1E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</w:p>
    <w:p w14:paraId="19F23EED" w14:textId="6932C981" w:rsidR="00452103" w:rsidRPr="001F4C1E" w:rsidRDefault="00452103" w:rsidP="001F4C1E">
      <w:pPr>
        <w:spacing w:after="0" w:line="240" w:lineRule="auto"/>
        <w:jc w:val="both"/>
        <w:rPr>
          <w:rFonts w:eastAsia="Times New Roman" w:cstheme="minorHAnsi"/>
          <w:color w:val="212121"/>
          <w:lang w:eastAsia="es-ES"/>
        </w:rPr>
      </w:pPr>
      <w:r w:rsidRPr="001F4C1E">
        <w:rPr>
          <w:rFonts w:eastAsia="Times New Roman" w:cstheme="minorHAnsi"/>
          <w:color w:val="212121"/>
          <w:lang w:eastAsia="es-ES"/>
        </w:rPr>
        <w:t>Presupuesto: 1 billón de euros. Es recomendable presentar las propuestas antes del 14 de julio ya que no se sabe la cantidad que quedará para la segunda fecha límite</w:t>
      </w:r>
      <w:r w:rsidR="00462B9D">
        <w:rPr>
          <w:rFonts w:eastAsia="Times New Roman" w:cstheme="minorHAnsi"/>
          <w:color w:val="212121"/>
          <w:lang w:eastAsia="es-ES"/>
        </w:rPr>
        <w:t>.</w:t>
      </w:r>
    </w:p>
    <w:p w14:paraId="12ED2FFF" w14:textId="77777777" w:rsidR="0088380F" w:rsidRPr="001F4C1E" w:rsidRDefault="0088380F" w:rsidP="001F4C1E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</w:p>
    <w:p w14:paraId="7D64CB6F" w14:textId="50FBCC7C" w:rsidR="00452103" w:rsidRPr="001F4C1E" w:rsidRDefault="00452103" w:rsidP="001F4C1E">
      <w:pPr>
        <w:spacing w:after="0" w:line="240" w:lineRule="auto"/>
        <w:jc w:val="both"/>
        <w:rPr>
          <w:rFonts w:eastAsia="Times New Roman" w:cstheme="minorHAnsi"/>
          <w:color w:val="212121"/>
          <w:lang w:eastAsia="es-ES"/>
        </w:rPr>
      </w:pPr>
      <w:r w:rsidRPr="001F4C1E">
        <w:rPr>
          <w:rFonts w:eastAsia="Times New Roman" w:cstheme="minorHAnsi"/>
          <w:color w:val="212121"/>
          <w:lang w:eastAsia="es-ES"/>
        </w:rPr>
        <w:t>El coste total del proyecto debe superar los 10 millones de euros</w:t>
      </w:r>
      <w:r w:rsidR="00462B9D">
        <w:rPr>
          <w:rFonts w:eastAsia="Times New Roman" w:cstheme="minorHAnsi"/>
          <w:color w:val="212121"/>
          <w:lang w:eastAsia="es-ES"/>
        </w:rPr>
        <w:t>.</w:t>
      </w:r>
    </w:p>
    <w:p w14:paraId="3056F7A5" w14:textId="77777777" w:rsidR="0088380F" w:rsidRPr="001F4C1E" w:rsidRDefault="0088380F" w:rsidP="001F4C1E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</w:p>
    <w:p w14:paraId="1EDD6127" w14:textId="66E09260" w:rsidR="00452103" w:rsidRPr="001F4C1E" w:rsidRDefault="00452103" w:rsidP="001F4C1E">
      <w:pPr>
        <w:spacing w:after="0" w:line="240" w:lineRule="auto"/>
        <w:jc w:val="both"/>
        <w:rPr>
          <w:rFonts w:eastAsia="Times New Roman" w:cstheme="minorHAnsi"/>
          <w:color w:val="212121"/>
          <w:lang w:eastAsia="es-ES"/>
        </w:rPr>
      </w:pPr>
      <w:r w:rsidRPr="001F4C1E">
        <w:rPr>
          <w:rFonts w:eastAsia="Times New Roman" w:cstheme="minorHAnsi"/>
          <w:color w:val="212121"/>
          <w:lang w:eastAsia="es-ES"/>
        </w:rPr>
        <w:t>No se deben presentar estudios, solo se respaldarán proyectos de obra</w:t>
      </w:r>
      <w:r w:rsidR="00462B9D">
        <w:rPr>
          <w:rFonts w:eastAsia="Times New Roman" w:cstheme="minorHAnsi"/>
          <w:color w:val="212121"/>
          <w:lang w:eastAsia="es-ES"/>
        </w:rPr>
        <w:t>.</w:t>
      </w:r>
    </w:p>
    <w:p w14:paraId="13673CA7" w14:textId="77777777" w:rsidR="0088380F" w:rsidRPr="001F4C1E" w:rsidRDefault="0088380F" w:rsidP="001F4C1E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</w:p>
    <w:p w14:paraId="2DE4EA83" w14:textId="0CCA2725" w:rsidR="00452103" w:rsidRPr="001F4C1E" w:rsidRDefault="00452103" w:rsidP="001F4C1E">
      <w:pPr>
        <w:spacing w:after="0" w:line="240" w:lineRule="auto"/>
        <w:jc w:val="both"/>
        <w:rPr>
          <w:rFonts w:eastAsia="Times New Roman" w:cstheme="minorHAnsi"/>
          <w:color w:val="212121"/>
          <w:lang w:eastAsia="es-ES"/>
        </w:rPr>
      </w:pPr>
      <w:r w:rsidRPr="001F4C1E">
        <w:rPr>
          <w:rFonts w:eastAsia="Times New Roman" w:cstheme="minorHAnsi"/>
          <w:color w:val="212121"/>
          <w:lang w:eastAsia="es-ES"/>
        </w:rPr>
        <w:t>Es indispensable la realización de una evaluación sobre la viabilidad financiera del proyecto. Se debe incluir en el formulario de solicitud una carta de apoyo por parte de instituciones financieras públicas o privadas.</w:t>
      </w:r>
    </w:p>
    <w:p w14:paraId="79F6E8CC" w14:textId="77777777" w:rsidR="001F4C1E" w:rsidRPr="001F4C1E" w:rsidRDefault="001F4C1E" w:rsidP="001F4C1E">
      <w:pPr>
        <w:spacing w:after="0" w:line="240" w:lineRule="auto"/>
        <w:jc w:val="both"/>
        <w:rPr>
          <w:rFonts w:eastAsia="Times New Roman" w:cstheme="minorHAnsi"/>
          <w:color w:val="212121"/>
          <w:lang w:eastAsia="es-ES"/>
        </w:rPr>
      </w:pPr>
    </w:p>
    <w:p w14:paraId="104DD692" w14:textId="05143707" w:rsidR="001F4C1E" w:rsidRPr="001F4C1E" w:rsidRDefault="001F4C1E" w:rsidP="001F4C1E">
      <w:pPr>
        <w:spacing w:after="0" w:line="240" w:lineRule="auto"/>
        <w:jc w:val="both"/>
        <w:rPr>
          <w:rFonts w:eastAsia="Times New Roman" w:cstheme="minorHAnsi"/>
          <w:color w:val="212121"/>
          <w:lang w:eastAsia="es-ES"/>
        </w:rPr>
      </w:pPr>
      <w:r w:rsidRPr="001F4C1E">
        <w:rPr>
          <w:rFonts w:eastAsia="Times New Roman" w:cstheme="minorHAnsi"/>
          <w:color w:val="212121"/>
          <w:lang w:eastAsia="es-ES"/>
        </w:rPr>
        <w:t>Punto de contacto:</w:t>
      </w:r>
    </w:p>
    <w:p w14:paraId="152D4747" w14:textId="77777777" w:rsidR="001F4C1E" w:rsidRPr="001F4C1E" w:rsidRDefault="001F4C1E" w:rsidP="001F4C1E">
      <w:pPr>
        <w:spacing w:after="0" w:line="240" w:lineRule="auto"/>
        <w:jc w:val="both"/>
        <w:rPr>
          <w:rFonts w:eastAsia="Times New Roman" w:cstheme="minorHAnsi"/>
          <w:color w:val="212121"/>
          <w:lang w:eastAsia="es-ES"/>
        </w:rPr>
      </w:pPr>
    </w:p>
    <w:p w14:paraId="738FBEEA" w14:textId="73342272" w:rsidR="001F4C1E" w:rsidRPr="001F4C1E" w:rsidRDefault="001F4C1E" w:rsidP="001F4C1E">
      <w:pPr>
        <w:spacing w:after="0" w:line="240" w:lineRule="auto"/>
        <w:jc w:val="both"/>
      </w:pPr>
      <w:r w:rsidRPr="001F4C1E">
        <w:t>Ms María Carmen CORRAL ESCRIBANO Coordinadora de Programa Subdirección General de Planificación de Infraestructuras y Transporte Secretaría de Estado de Infraestructuras, Transporte y Vivienda</w:t>
      </w:r>
    </w:p>
    <w:p w14:paraId="321A60EE" w14:textId="77777777" w:rsidR="001F4C1E" w:rsidRPr="001F4C1E" w:rsidRDefault="001F4C1E" w:rsidP="001F4C1E">
      <w:pPr>
        <w:spacing w:after="0" w:line="240" w:lineRule="auto"/>
        <w:jc w:val="both"/>
      </w:pPr>
    </w:p>
    <w:p w14:paraId="39056B7E" w14:textId="52B6036A" w:rsidR="001F4C1E" w:rsidRPr="001F4C1E" w:rsidRDefault="001F4C1E" w:rsidP="001F4C1E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r w:rsidRPr="001F4C1E">
        <w:t xml:space="preserve">Paseo Castellana 67 ES - 28071 Madrid </w:t>
      </w:r>
      <w:proofErr w:type="spellStart"/>
      <w:r w:rsidRPr="001F4C1E">
        <w:t>Tél</w:t>
      </w:r>
      <w:proofErr w:type="spellEnd"/>
      <w:r w:rsidRPr="001F4C1E">
        <w:t>: +34 915 977 602 / 915 975 030 E-mail: ccorral@fomento.es</w:t>
      </w:r>
    </w:p>
    <w:p w14:paraId="42057928" w14:textId="1A768D70" w:rsidR="00452103" w:rsidRPr="001F4C1E" w:rsidRDefault="00452103" w:rsidP="001F4C1E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</w:p>
    <w:p w14:paraId="72789659" w14:textId="3B5AD4E0" w:rsidR="00452103" w:rsidRDefault="0025679B" w:rsidP="0066210A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es-ES"/>
        </w:rPr>
      </w:pPr>
      <w:r>
        <w:rPr>
          <w:rFonts w:eastAsia="Times New Roman" w:cstheme="minorHAnsi"/>
          <w:b/>
          <w:color w:val="000000"/>
          <w:lang w:eastAsia="es-ES"/>
        </w:rPr>
        <w:t>Más información:</w:t>
      </w:r>
    </w:p>
    <w:p w14:paraId="22D75EC1" w14:textId="77777777" w:rsidR="0025679B" w:rsidRDefault="0025679B" w:rsidP="0066210A">
      <w:pPr>
        <w:spacing w:after="0" w:line="240" w:lineRule="auto"/>
        <w:jc w:val="both"/>
        <w:rPr>
          <w:rFonts w:eastAsia="Times New Roman" w:cstheme="minorHAnsi"/>
          <w:b/>
          <w:color w:val="000000"/>
          <w:lang w:eastAsia="es-ES"/>
        </w:rPr>
      </w:pPr>
    </w:p>
    <w:p w14:paraId="26A56926" w14:textId="1E09881D" w:rsidR="0025679B" w:rsidRDefault="0025679B" w:rsidP="0066210A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hyperlink r:id="rId9" w:history="1">
        <w:r w:rsidRPr="00C7406B">
          <w:rPr>
            <w:rStyle w:val="Hipervnculo"/>
            <w:rFonts w:eastAsia="Times New Roman" w:cstheme="minorHAnsi"/>
            <w:lang w:eastAsia="es-ES"/>
          </w:rPr>
          <w:t>https://ec.europa.eu/inea/en/connecting-europe-facility/cef-transport/apply-funding/2017-cef-transport-blending-map-call</w:t>
        </w:r>
      </w:hyperlink>
    </w:p>
    <w:p w14:paraId="2C8CB434" w14:textId="77777777" w:rsidR="0025679B" w:rsidRDefault="0025679B" w:rsidP="0066210A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</w:p>
    <w:p w14:paraId="6EB787DD" w14:textId="1BD4FC45" w:rsidR="0025679B" w:rsidRPr="001F4C1E" w:rsidRDefault="0025679B" w:rsidP="0066210A">
      <w:pPr>
        <w:spacing w:after="0" w:line="240" w:lineRule="auto"/>
        <w:jc w:val="both"/>
        <w:rPr>
          <w:rFonts w:eastAsia="Times New Roman" w:cstheme="minorHAnsi"/>
          <w:color w:val="000000"/>
          <w:lang w:eastAsia="es-ES"/>
        </w:rPr>
      </w:pPr>
      <w:hyperlink r:id="rId10" w:history="1">
        <w:r w:rsidRPr="00C7406B">
          <w:rPr>
            <w:rStyle w:val="Hipervnculo"/>
            <w:rFonts w:eastAsia="Times New Roman" w:cstheme="minorHAnsi"/>
            <w:lang w:eastAsia="es-ES"/>
          </w:rPr>
          <w:t>https://ec.europa.eu/inea/en/news-events/events/2017-cef-transport-blending-call</w:t>
        </w:r>
      </w:hyperlink>
      <w:r>
        <w:rPr>
          <w:rFonts w:eastAsia="Times New Roman" w:cstheme="minorHAnsi"/>
          <w:color w:val="000000"/>
          <w:lang w:eastAsia="es-ES"/>
        </w:rPr>
        <w:t xml:space="preserve"> </w:t>
      </w:r>
    </w:p>
    <w:sectPr w:rsidR="0025679B" w:rsidRPr="001F4C1E" w:rsidSect="001F4C1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BC2B22" w14:textId="77777777" w:rsidR="00C32DFC" w:rsidRDefault="00C32DFC" w:rsidP="00FB55C5">
      <w:pPr>
        <w:spacing w:after="0" w:line="240" w:lineRule="auto"/>
      </w:pPr>
      <w:r>
        <w:separator/>
      </w:r>
    </w:p>
  </w:endnote>
  <w:endnote w:type="continuationSeparator" w:id="0">
    <w:p w14:paraId="7BCDED70" w14:textId="77777777" w:rsidR="00C32DFC" w:rsidRDefault="00C32DFC" w:rsidP="00FB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2881"/>
      <w:gridCol w:w="2882"/>
    </w:tblGrid>
    <w:tr w:rsidR="00FB55C5" w:rsidRPr="00680B7E" w14:paraId="2D593EBE" w14:textId="77777777" w:rsidTr="00D544CD">
      <w:trPr>
        <w:jc w:val="center"/>
      </w:trPr>
      <w:tc>
        <w:tcPr>
          <w:tcW w:w="2881" w:type="dxa"/>
          <w:vAlign w:val="bottom"/>
        </w:tcPr>
        <w:p w14:paraId="33B1C9AE" w14:textId="77777777" w:rsidR="00FB55C5" w:rsidRPr="00DC69AD" w:rsidRDefault="00FB55C5" w:rsidP="00D544CD">
          <w:pPr>
            <w:pStyle w:val="Piedepgina"/>
            <w:jc w:val="center"/>
            <w:rPr>
              <w:b/>
              <w:i/>
              <w:color w:val="808080" w:themeColor="background1" w:themeShade="80"/>
              <w:sz w:val="12"/>
              <w:szCs w:val="12"/>
              <w:lang w:val="en-US"/>
            </w:rPr>
          </w:pPr>
          <w:proofErr w:type="spellStart"/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en-US"/>
            </w:rPr>
            <w:t>Bruselako</w:t>
          </w:r>
          <w:proofErr w:type="spellEnd"/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en-US"/>
            </w:rPr>
            <w:t xml:space="preserve"> </w:t>
          </w:r>
          <w:proofErr w:type="spellStart"/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en-US"/>
            </w:rPr>
            <w:t>Delegazioa</w:t>
          </w:r>
          <w:proofErr w:type="spellEnd"/>
        </w:p>
        <w:p w14:paraId="4692F2F3" w14:textId="77777777" w:rsidR="00FB55C5" w:rsidRPr="00DC69AD" w:rsidRDefault="00FB55C5" w:rsidP="00D544CD">
          <w:pPr>
            <w:pStyle w:val="Piedepgina"/>
            <w:jc w:val="center"/>
            <w:rPr>
              <w:b/>
              <w:i/>
              <w:color w:val="808080" w:themeColor="background1" w:themeShade="80"/>
              <w:sz w:val="12"/>
              <w:szCs w:val="12"/>
              <w:lang w:val="en-US"/>
            </w:rPr>
          </w:pPr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en-US"/>
            </w:rPr>
            <w:t>Delegation in Brussels</w:t>
          </w:r>
        </w:p>
      </w:tc>
      <w:tc>
        <w:tcPr>
          <w:tcW w:w="2881" w:type="dxa"/>
        </w:tcPr>
        <w:p w14:paraId="0E7F2CD9" w14:textId="77777777" w:rsidR="00FB55C5" w:rsidRPr="002802E5" w:rsidRDefault="00FB55C5" w:rsidP="00D544CD">
          <w:pPr>
            <w:pStyle w:val="Piedepgina"/>
            <w:jc w:val="center"/>
            <w:rPr>
              <w:b/>
              <w:i/>
              <w:sz w:val="18"/>
              <w:szCs w:val="18"/>
            </w:rPr>
          </w:pPr>
          <w:r w:rsidRPr="002802E5">
            <w:rPr>
              <w:b/>
              <w:i/>
              <w:noProof/>
              <w:sz w:val="18"/>
              <w:szCs w:val="18"/>
              <w:lang w:eastAsia="es-ES"/>
            </w:rPr>
            <w:drawing>
              <wp:inline distT="0" distB="0" distL="0" distR="0" wp14:anchorId="53C8B9EB" wp14:editId="56913D5E">
                <wp:extent cx="951124" cy="261295"/>
                <wp:effectExtent l="0" t="0" r="1905" b="571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7294" cy="2657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2" w:type="dxa"/>
          <w:vAlign w:val="bottom"/>
        </w:tcPr>
        <w:p w14:paraId="3FE828C5" w14:textId="77777777" w:rsidR="00FB55C5" w:rsidRPr="00DC69AD" w:rsidRDefault="00FB55C5" w:rsidP="00D544CD">
          <w:pPr>
            <w:pStyle w:val="Piedepgina"/>
            <w:ind w:left="708"/>
            <w:jc w:val="center"/>
            <w:rPr>
              <w:b/>
              <w:i/>
              <w:color w:val="808080" w:themeColor="background1" w:themeShade="80"/>
              <w:sz w:val="12"/>
              <w:szCs w:val="12"/>
              <w:lang w:val="fr-BE"/>
            </w:rPr>
          </w:pPr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fr-BE"/>
            </w:rPr>
            <w:t>Délégation à Bruxelles</w:t>
          </w:r>
        </w:p>
        <w:p w14:paraId="4870E049" w14:textId="77777777" w:rsidR="00FB55C5" w:rsidRPr="002802E5" w:rsidRDefault="00FB55C5" w:rsidP="00D544CD">
          <w:pPr>
            <w:pStyle w:val="Piedepgina"/>
            <w:ind w:left="708"/>
            <w:jc w:val="center"/>
            <w:rPr>
              <w:b/>
              <w:i/>
              <w:sz w:val="18"/>
              <w:szCs w:val="18"/>
              <w:lang w:val="fr-BE"/>
            </w:rPr>
          </w:pPr>
          <w:proofErr w:type="spellStart"/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fr-BE"/>
            </w:rPr>
            <w:t>Delegación</w:t>
          </w:r>
          <w:proofErr w:type="spellEnd"/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fr-BE"/>
            </w:rPr>
            <w:t xml:space="preserve"> en </w:t>
          </w:r>
          <w:proofErr w:type="spellStart"/>
          <w:r w:rsidRPr="00DC69AD">
            <w:rPr>
              <w:b/>
              <w:i/>
              <w:color w:val="808080" w:themeColor="background1" w:themeShade="80"/>
              <w:sz w:val="12"/>
              <w:szCs w:val="12"/>
              <w:lang w:val="fr-BE"/>
            </w:rPr>
            <w:t>Bruselas</w:t>
          </w:r>
          <w:proofErr w:type="spellEnd"/>
        </w:p>
      </w:tc>
    </w:tr>
  </w:tbl>
  <w:p w14:paraId="7FF6A19B" w14:textId="77777777" w:rsidR="00FB55C5" w:rsidRDefault="00FB55C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EFEE32" w14:textId="77777777" w:rsidR="00C32DFC" w:rsidRDefault="00C32DFC" w:rsidP="00FB55C5">
      <w:pPr>
        <w:spacing w:after="0" w:line="240" w:lineRule="auto"/>
      </w:pPr>
      <w:r>
        <w:separator/>
      </w:r>
    </w:p>
  </w:footnote>
  <w:footnote w:type="continuationSeparator" w:id="0">
    <w:p w14:paraId="0292E2CA" w14:textId="77777777" w:rsidR="00C32DFC" w:rsidRDefault="00C32DFC" w:rsidP="00FB5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91DB1D" w14:textId="77777777" w:rsidR="00FB55C5" w:rsidRDefault="00FB55C5" w:rsidP="00FB55C5">
    <w:pPr>
      <w:pStyle w:val="Encabezado"/>
      <w:jc w:val="right"/>
    </w:pPr>
    <w:r w:rsidRPr="000E5D37">
      <w:rPr>
        <w:noProof/>
        <w:lang w:eastAsia="es-ES"/>
      </w:rPr>
      <w:drawing>
        <wp:inline distT="0" distB="0" distL="0" distR="0" wp14:anchorId="2D8FAE0B" wp14:editId="7C14B2E9">
          <wp:extent cx="352425" cy="352425"/>
          <wp:effectExtent l="0" t="0" r="9525" b="9525"/>
          <wp:docPr id="2" name="Imagen 2" descr="C:\Users\mirujo\Pictures\Logo GOB NA B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rujo\Pictures\Logo GOB NA BR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87CFBF" w14:textId="77777777" w:rsidR="00FB55C5" w:rsidRDefault="00FB55C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81F45"/>
    <w:multiLevelType w:val="multilevel"/>
    <w:tmpl w:val="BDFA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77DF9"/>
    <w:multiLevelType w:val="multilevel"/>
    <w:tmpl w:val="0C8CA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85C56"/>
    <w:multiLevelType w:val="hybridMultilevel"/>
    <w:tmpl w:val="279E4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D44550"/>
    <w:multiLevelType w:val="hybridMultilevel"/>
    <w:tmpl w:val="AC92EC5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03"/>
    <w:rsid w:val="00102637"/>
    <w:rsid w:val="00140688"/>
    <w:rsid w:val="001927FA"/>
    <w:rsid w:val="001F4C1E"/>
    <w:rsid w:val="0025679B"/>
    <w:rsid w:val="00452103"/>
    <w:rsid w:val="00462B9D"/>
    <w:rsid w:val="00661202"/>
    <w:rsid w:val="0066210A"/>
    <w:rsid w:val="0080526F"/>
    <w:rsid w:val="0088380F"/>
    <w:rsid w:val="009E65A6"/>
    <w:rsid w:val="00A070EB"/>
    <w:rsid w:val="00AA367D"/>
    <w:rsid w:val="00C32DFC"/>
    <w:rsid w:val="00CF0B9A"/>
    <w:rsid w:val="00EC1989"/>
    <w:rsid w:val="00F20E9C"/>
    <w:rsid w:val="00FB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94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52103"/>
  </w:style>
  <w:style w:type="character" w:styleId="Hipervnculo">
    <w:name w:val="Hyperlink"/>
    <w:basedOn w:val="Fuentedeprrafopredeter"/>
    <w:uiPriority w:val="99"/>
    <w:unhideWhenUsed/>
    <w:rsid w:val="0045210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5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52103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5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452103"/>
    <w:rPr>
      <w:i/>
      <w:iCs/>
    </w:rPr>
  </w:style>
  <w:style w:type="table" w:styleId="Tablaconcuadrcula">
    <w:name w:val="Table Grid"/>
    <w:basedOn w:val="Tablanormal"/>
    <w:uiPriority w:val="39"/>
    <w:rsid w:val="0088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B5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5C5"/>
  </w:style>
  <w:style w:type="paragraph" w:styleId="Piedepgina">
    <w:name w:val="footer"/>
    <w:basedOn w:val="Normal"/>
    <w:link w:val="PiedepginaCar"/>
    <w:uiPriority w:val="99"/>
    <w:unhideWhenUsed/>
    <w:rsid w:val="00FB5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5C5"/>
  </w:style>
  <w:style w:type="paragraph" w:styleId="Textodeglobo">
    <w:name w:val="Balloon Text"/>
    <w:basedOn w:val="Normal"/>
    <w:link w:val="TextodegloboCar"/>
    <w:uiPriority w:val="99"/>
    <w:semiHidden/>
    <w:unhideWhenUsed/>
    <w:rsid w:val="00FB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5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52103"/>
  </w:style>
  <w:style w:type="character" w:styleId="Hipervnculo">
    <w:name w:val="Hyperlink"/>
    <w:basedOn w:val="Fuentedeprrafopredeter"/>
    <w:uiPriority w:val="99"/>
    <w:unhideWhenUsed/>
    <w:rsid w:val="00452103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5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521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452103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45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452103"/>
    <w:rPr>
      <w:i/>
      <w:iCs/>
    </w:rPr>
  </w:style>
  <w:style w:type="table" w:styleId="Tablaconcuadrcula">
    <w:name w:val="Table Grid"/>
    <w:basedOn w:val="Tablanormal"/>
    <w:uiPriority w:val="39"/>
    <w:rsid w:val="00883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B5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55C5"/>
  </w:style>
  <w:style w:type="paragraph" w:styleId="Piedepgina">
    <w:name w:val="footer"/>
    <w:basedOn w:val="Normal"/>
    <w:link w:val="PiedepginaCar"/>
    <w:uiPriority w:val="99"/>
    <w:unhideWhenUsed/>
    <w:rsid w:val="00FB55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55C5"/>
  </w:style>
  <w:style w:type="paragraph" w:styleId="Textodeglobo">
    <w:name w:val="Balloon Text"/>
    <w:basedOn w:val="Normal"/>
    <w:link w:val="TextodegloboCar"/>
    <w:uiPriority w:val="99"/>
    <w:semiHidden/>
    <w:unhideWhenUsed/>
    <w:rsid w:val="00FB5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55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6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inea/sites/inea/files/cef_transport_blending_2017_call_leaflet_web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ec.europa.eu/inea/en/news-events/events/2017-cef-transport-blending-c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c.europa.eu/inea/en/connecting-europe-facility/cef-transport/apply-funding/2017-cef-transport-blending-map-cal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Mikel Irujo</dc:creator>
  <cp:lastModifiedBy>Irujo Amezaga, Mikel (Delegado del GN en Bruselas)</cp:lastModifiedBy>
  <cp:revision>5</cp:revision>
  <dcterms:created xsi:type="dcterms:W3CDTF">2017-03-09T05:25:00Z</dcterms:created>
  <dcterms:modified xsi:type="dcterms:W3CDTF">2017-03-09T05:52:00Z</dcterms:modified>
</cp:coreProperties>
</file>