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D7" w:rsidRDefault="00E057E2" w:rsidP="00D01BBF">
      <w:pPr>
        <w:spacing w:after="0" w:line="240" w:lineRule="auto"/>
        <w:jc w:val="both"/>
      </w:pPr>
    </w:p>
    <w:p w:rsidR="000919AA" w:rsidRDefault="000919AA" w:rsidP="00D01BBF">
      <w:pPr>
        <w:spacing w:after="0" w:line="240" w:lineRule="auto"/>
        <w:jc w:val="both"/>
      </w:pPr>
    </w:p>
    <w:p w:rsidR="00964925" w:rsidRDefault="00964925" w:rsidP="00D01BBF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3F6A" w:rsidTr="00EC3F6A">
        <w:tc>
          <w:tcPr>
            <w:tcW w:w="8494" w:type="dxa"/>
          </w:tcPr>
          <w:p w:rsidR="00EC3F6A" w:rsidRDefault="00284A4D" w:rsidP="00D01BBF">
            <w:pPr>
              <w:jc w:val="center"/>
              <w:rPr>
                <w:rFonts w:ascii="Tahoma" w:hAnsi="Tahoma" w:cs="Tahoma"/>
                <w:color w:val="0070C0"/>
                <w:sz w:val="44"/>
                <w:szCs w:val="44"/>
              </w:rPr>
            </w:pPr>
            <w:r>
              <w:rPr>
                <w:rFonts w:ascii="Tahoma" w:hAnsi="Tahoma" w:cs="Tahoma"/>
                <w:color w:val="0070C0"/>
                <w:sz w:val="44"/>
                <w:szCs w:val="44"/>
              </w:rPr>
              <w:t>Plataformas temáticas de especialización inteligente</w:t>
            </w:r>
          </w:p>
          <w:p w:rsidR="00284A4D" w:rsidRDefault="00284A4D" w:rsidP="00D01BBF">
            <w:pPr>
              <w:jc w:val="center"/>
            </w:pPr>
            <w:r>
              <w:rPr>
                <w:rFonts w:ascii="Tahoma" w:hAnsi="Tahoma" w:cs="Tahoma"/>
                <w:color w:val="0070C0"/>
                <w:sz w:val="44"/>
                <w:szCs w:val="44"/>
              </w:rPr>
              <w:t xml:space="preserve">S3 </w:t>
            </w:r>
          </w:p>
        </w:tc>
      </w:tr>
    </w:tbl>
    <w:p w:rsidR="00964925" w:rsidRDefault="00964925" w:rsidP="00D01BBF">
      <w:pPr>
        <w:spacing w:after="0" w:line="240" w:lineRule="auto"/>
        <w:jc w:val="both"/>
      </w:pPr>
    </w:p>
    <w:p w:rsidR="00964925" w:rsidRDefault="00964925" w:rsidP="00D01BBF">
      <w:pPr>
        <w:spacing w:after="0" w:line="240" w:lineRule="auto"/>
        <w:jc w:val="both"/>
      </w:pPr>
    </w:p>
    <w:p w:rsidR="000919AA" w:rsidRDefault="000919AA" w:rsidP="00D01BBF">
      <w:pPr>
        <w:spacing w:after="0" w:line="240" w:lineRule="auto"/>
        <w:jc w:val="both"/>
      </w:pPr>
    </w:p>
    <w:p w:rsidR="000919AA" w:rsidRDefault="000919AA" w:rsidP="00D01BBF">
      <w:pPr>
        <w:spacing w:after="0" w:line="240" w:lineRule="auto"/>
        <w:jc w:val="both"/>
      </w:pPr>
    </w:p>
    <w:p w:rsidR="003031F6" w:rsidRPr="008B6479" w:rsidRDefault="003031F6" w:rsidP="00D01BBF">
      <w:pPr>
        <w:pStyle w:val="TtulodeTDC"/>
        <w:spacing w:before="0" w:line="240" w:lineRule="auto"/>
        <w:rPr>
          <w:lang w:val="es-ES"/>
        </w:rPr>
      </w:pPr>
      <w:r w:rsidRPr="008B6479">
        <w:rPr>
          <w:lang w:val="es-ES"/>
        </w:rPr>
        <w:t>Contenido</w:t>
      </w:r>
    </w:p>
    <w:p w:rsidR="00AB43A5" w:rsidRDefault="003031F6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s-ES" w:eastAsia="es-ES"/>
        </w:rPr>
      </w:pPr>
      <w:r w:rsidRPr="008B6479">
        <w:rPr>
          <w:rFonts w:ascii="Times New Roman" w:hAnsi="Times New Roman"/>
          <w:lang w:val="es-ES"/>
        </w:rPr>
        <w:fldChar w:fldCharType="begin"/>
      </w:r>
      <w:r w:rsidRPr="008B6479">
        <w:rPr>
          <w:rFonts w:ascii="Times New Roman" w:hAnsi="Times New Roman"/>
          <w:lang w:val="es-ES"/>
        </w:rPr>
        <w:instrText xml:space="preserve"> TOC \o "1-3" \h \z \u </w:instrText>
      </w:r>
      <w:r w:rsidRPr="008B6479">
        <w:rPr>
          <w:rFonts w:ascii="Times New Roman" w:hAnsi="Times New Roman"/>
          <w:lang w:val="es-ES"/>
        </w:rPr>
        <w:fldChar w:fldCharType="separate"/>
      </w:r>
      <w:hyperlink w:anchor="_Toc462295625" w:history="1">
        <w:r w:rsidR="00AB43A5" w:rsidRPr="002C5D0B">
          <w:rPr>
            <w:rStyle w:val="Hipervnculo"/>
          </w:rPr>
          <w:t>Plataformas S3 temáticas - introducción</w:t>
        </w:r>
        <w:r w:rsidR="00AB43A5">
          <w:rPr>
            <w:webHidden/>
          </w:rPr>
          <w:tab/>
        </w:r>
        <w:r w:rsidR="00AB43A5">
          <w:rPr>
            <w:webHidden/>
          </w:rPr>
          <w:fldChar w:fldCharType="begin"/>
        </w:r>
        <w:r w:rsidR="00AB43A5">
          <w:rPr>
            <w:webHidden/>
          </w:rPr>
          <w:instrText xml:space="preserve"> PAGEREF _Toc462295625 \h </w:instrText>
        </w:r>
        <w:r w:rsidR="00AB43A5">
          <w:rPr>
            <w:webHidden/>
          </w:rPr>
        </w:r>
        <w:r w:rsidR="00AB43A5">
          <w:rPr>
            <w:webHidden/>
          </w:rPr>
          <w:fldChar w:fldCharType="separate"/>
        </w:r>
        <w:r w:rsidR="00AB43A5">
          <w:rPr>
            <w:webHidden/>
          </w:rPr>
          <w:t>1</w:t>
        </w:r>
        <w:r w:rsidR="00AB43A5">
          <w:rPr>
            <w:webHidden/>
          </w:rPr>
          <w:fldChar w:fldCharType="end"/>
        </w:r>
      </w:hyperlink>
    </w:p>
    <w:p w:rsidR="00AB43A5" w:rsidRDefault="00AB43A5">
      <w:pPr>
        <w:pStyle w:val="TDC2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s-ES" w:eastAsia="es-ES"/>
        </w:rPr>
      </w:pPr>
      <w:hyperlink w:anchor="_Toc462295626" w:history="1">
        <w:r w:rsidRPr="002C5D0B">
          <w:rPr>
            <w:rStyle w:val="Hipervnculo"/>
            <w:noProof/>
          </w:rPr>
          <w:t>Plataforma de Especialización Inteligente para la Industria Agroalimentaria (S3P Agroalimentaria)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_Toc462295626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B43A5" w:rsidRDefault="00AB43A5">
      <w:pPr>
        <w:pStyle w:val="TDC2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s-ES" w:eastAsia="es-ES"/>
        </w:rPr>
      </w:pPr>
      <w:hyperlink w:anchor="_Toc462295627" w:history="1">
        <w:r w:rsidRPr="002C5D0B">
          <w:rPr>
            <w:rStyle w:val="Hipervnculo"/>
            <w:noProof/>
          </w:rPr>
          <w:t>Modernización industrial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_Toc462295627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B43A5" w:rsidRDefault="00AB43A5">
      <w:pPr>
        <w:pStyle w:val="TDC2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s-ES" w:eastAsia="es-ES"/>
        </w:rPr>
      </w:pPr>
      <w:hyperlink w:anchor="_Toc462295628" w:history="1">
        <w:r w:rsidRPr="002C5D0B">
          <w:rPr>
            <w:rStyle w:val="Hipervnculo"/>
            <w:noProof/>
          </w:rPr>
          <w:t>Plataforma de Especialización Inteligente de Energía (S3PEnergy)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_Toc462295628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B43A5" w:rsidRDefault="00AB43A5">
      <w:pPr>
        <w:pStyle w:val="TDC2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s-ES" w:eastAsia="es-ES"/>
        </w:rPr>
      </w:pPr>
      <w:hyperlink w:anchor="_Toc462295629" w:history="1">
        <w:r w:rsidRPr="002C5D0B">
          <w:rPr>
            <w:rStyle w:val="Hipervnculo"/>
            <w:noProof/>
          </w:rPr>
          <w:t>Otras áreas temáticas del S3: digital growth y value chains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_Toc462295629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B43A5" w:rsidRDefault="00AB43A5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s-ES" w:eastAsia="es-ES"/>
        </w:rPr>
      </w:pPr>
      <w:hyperlink w:anchor="_Toc462295630" w:history="1">
        <w:r w:rsidRPr="002C5D0B">
          <w:rPr>
            <w:rStyle w:val="Hipervnculo"/>
          </w:rPr>
          <w:t>Propuesta de creación de consorcios regionales en torno a áreas temáticas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_Toc462295630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B43A5" w:rsidRDefault="00AB43A5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s-ES" w:eastAsia="es-ES"/>
        </w:rPr>
      </w:pPr>
      <w:hyperlink w:anchor="_Toc462295631" w:history="1">
        <w:r w:rsidRPr="002C5D0B">
          <w:rPr>
            <w:rStyle w:val="Hipervnculo"/>
          </w:rPr>
          <w:t>Plataformas S3 y su sinergia con Vanguard Initiative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_Toc462295631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37261" w:rsidRDefault="003031F6" w:rsidP="00D01BBF">
      <w:pPr>
        <w:spacing w:after="0" w:line="240" w:lineRule="auto"/>
        <w:jc w:val="both"/>
        <w:rPr>
          <w:rFonts w:ascii="Times New Roman" w:hAnsi="Times New Roman"/>
        </w:rPr>
      </w:pPr>
      <w:r w:rsidRPr="008B6479">
        <w:rPr>
          <w:rFonts w:ascii="Times New Roman" w:hAnsi="Times New Roman"/>
        </w:rPr>
        <w:fldChar w:fldCharType="end"/>
      </w:r>
      <w:bookmarkStart w:id="0" w:name="_GoBack"/>
      <w:bookmarkEnd w:id="0"/>
    </w:p>
    <w:p w:rsidR="000919AA" w:rsidRDefault="000919AA" w:rsidP="00D01BBF">
      <w:pPr>
        <w:spacing w:after="0" w:line="240" w:lineRule="auto"/>
        <w:rPr>
          <w:rFonts w:ascii="Times New Roman" w:hAnsi="Times New Roman"/>
        </w:rPr>
      </w:pPr>
    </w:p>
    <w:p w:rsidR="000919AA" w:rsidRDefault="00284A4D" w:rsidP="00D01BBF">
      <w:pPr>
        <w:pStyle w:val="Ttulo1"/>
        <w:spacing w:before="0" w:line="240" w:lineRule="auto"/>
      </w:pPr>
      <w:bookmarkStart w:id="1" w:name="_Toc462295625"/>
      <w:r>
        <w:t>Plataformas S3 temáticas - introducción</w:t>
      </w:r>
      <w:bookmarkEnd w:id="1"/>
    </w:p>
    <w:p w:rsidR="001535E7" w:rsidRDefault="001535E7" w:rsidP="00D01BBF">
      <w:pPr>
        <w:spacing w:after="0" w:line="240" w:lineRule="auto"/>
        <w:jc w:val="both"/>
      </w:pPr>
    </w:p>
    <w:p w:rsidR="00284A4D" w:rsidRDefault="00284A4D" w:rsidP="00D01BBF">
      <w:pPr>
        <w:spacing w:after="0" w:line="240" w:lineRule="auto"/>
        <w:jc w:val="both"/>
      </w:pPr>
      <w:r>
        <w:t xml:space="preserve">El </w:t>
      </w:r>
      <w:r>
        <w:t xml:space="preserve">pasado </w:t>
      </w:r>
      <w:r>
        <w:t xml:space="preserve">2 de junio de 2016, la Comisión Europea </w:t>
      </w:r>
      <w:r>
        <w:t>anunció la creación de</w:t>
      </w:r>
      <w:r>
        <w:t xml:space="preserve"> </w:t>
      </w:r>
      <w:r>
        <w:t xml:space="preserve">otras </w:t>
      </w:r>
      <w:r>
        <w:t xml:space="preserve">dos plataformas de especialización inteligentes: modernización industrial y Agroalimentación, </w:t>
      </w:r>
      <w:r>
        <w:t xml:space="preserve">que se suma a la ya existente de </w:t>
      </w:r>
      <w:r>
        <w:t>Energía</w:t>
      </w:r>
      <w:r>
        <w:t xml:space="preserve"> (creada en 2015)</w:t>
      </w:r>
      <w:r w:rsidR="00EA175C">
        <w:rPr>
          <w:rStyle w:val="Refdenotaalpie"/>
        </w:rPr>
        <w:footnoteReference w:id="1"/>
      </w:r>
      <w:r>
        <w:t>.</w:t>
      </w:r>
    </w:p>
    <w:p w:rsidR="00284A4D" w:rsidRDefault="00284A4D" w:rsidP="00D01BBF">
      <w:pPr>
        <w:spacing w:after="0" w:line="240" w:lineRule="auto"/>
        <w:jc w:val="both"/>
      </w:pPr>
    </w:p>
    <w:p w:rsidR="00284A4D" w:rsidRDefault="00284A4D" w:rsidP="00D01BBF">
      <w:pPr>
        <w:spacing w:after="0" w:line="240" w:lineRule="auto"/>
        <w:jc w:val="both"/>
      </w:pPr>
      <w:r>
        <w:t xml:space="preserve">Estas iniciativas </w:t>
      </w:r>
      <w:r>
        <w:t xml:space="preserve">tienen por objetivo </w:t>
      </w:r>
      <w:r>
        <w:t xml:space="preserve">ofrecer apoyo práctico a las regiones para fomentar la cooperación interregional basada en la coincidencia de prioridades de especialización inteligente relacionadas con estas tres áreas - tales como las tecnologías facilitadoras </w:t>
      </w:r>
      <w:proofErr w:type="gramStart"/>
      <w:r>
        <w:t>esenciales ,</w:t>
      </w:r>
      <w:proofErr w:type="gramEnd"/>
      <w:r>
        <w:t xml:space="preserve"> la innovación de servicios o eficiencia de los recursos. </w:t>
      </w:r>
      <w:r>
        <w:t xml:space="preserve">Su gestión corre a cargo de la </w:t>
      </w:r>
      <w:r>
        <w:t>Comisión Europea</w:t>
      </w:r>
      <w:r>
        <w:t xml:space="preserve">, por medio de </w:t>
      </w:r>
      <w:r>
        <w:t xml:space="preserve">plataforma </w:t>
      </w:r>
      <w:r>
        <w:t xml:space="preserve">S3 de </w:t>
      </w:r>
      <w:r>
        <w:t>Sevilla.</w:t>
      </w:r>
    </w:p>
    <w:p w:rsidR="00284A4D" w:rsidRDefault="00284A4D" w:rsidP="00D01BBF">
      <w:pPr>
        <w:spacing w:after="0" w:line="240" w:lineRule="auto"/>
        <w:jc w:val="both"/>
      </w:pPr>
    </w:p>
    <w:p w:rsidR="00284A4D" w:rsidRDefault="00284A4D" w:rsidP="00D01BBF">
      <w:pPr>
        <w:spacing w:after="0" w:line="240" w:lineRule="auto"/>
        <w:jc w:val="both"/>
      </w:pPr>
      <w:r>
        <w:t xml:space="preserve">El objetivo de esta iniciativa </w:t>
      </w:r>
      <w:r>
        <w:t xml:space="preserve">es doble, por un lado, </w:t>
      </w:r>
      <w:r>
        <w:t xml:space="preserve">crear </w:t>
      </w:r>
      <w:r>
        <w:t>un posible marco de financiación</w:t>
      </w:r>
      <w:r>
        <w:t xml:space="preserve"> </w:t>
      </w:r>
      <w:proofErr w:type="spellStart"/>
      <w:r>
        <w:t>de</w:t>
      </w:r>
      <w:proofErr w:type="spellEnd"/>
      <w:r>
        <w:t xml:space="preserve"> proyectos maduros en nuevas áreas de crecimiento en toda la UE, proporcionando asesoramiento personalizado</w:t>
      </w:r>
      <w:r>
        <w:t>. En segundo lugar,</w:t>
      </w:r>
      <w:r>
        <w:t xml:space="preserve"> ayudar a las regiones a establecer vínculos con las comunidades empresariales y de investigación.</w:t>
      </w:r>
    </w:p>
    <w:p w:rsidR="00284A4D" w:rsidRDefault="00284A4D" w:rsidP="00D01BBF">
      <w:pPr>
        <w:spacing w:after="0" w:line="240" w:lineRule="auto"/>
        <w:jc w:val="both"/>
      </w:pPr>
    </w:p>
    <w:p w:rsidR="00284A4D" w:rsidRDefault="00284A4D" w:rsidP="00D01BBF">
      <w:pPr>
        <w:spacing w:after="0" w:line="240" w:lineRule="auto"/>
        <w:jc w:val="both"/>
      </w:pPr>
      <w:r>
        <w:t xml:space="preserve">La plataforma </w:t>
      </w:r>
      <w:r>
        <w:t>tiene como misión</w:t>
      </w:r>
      <w:r>
        <w:t xml:space="preserve"> ayudar a las regiones a desarrollar o compartir infraestructura</w:t>
      </w:r>
      <w:r>
        <w:t>s</w:t>
      </w:r>
      <w:r>
        <w:t xml:space="preserve">, como instalaciones de </w:t>
      </w:r>
      <w:r>
        <w:t>ensayo</w:t>
      </w:r>
      <w:r>
        <w:t xml:space="preserve">, plantas piloto, centros de datos, y </w:t>
      </w:r>
      <w:proofErr w:type="spellStart"/>
      <w:r w:rsidRPr="00284A4D">
        <w:rPr>
          <w:i/>
        </w:rPr>
        <w:t>Fab</w:t>
      </w:r>
      <w:r>
        <w:rPr>
          <w:i/>
        </w:rPr>
        <w:t>-</w:t>
      </w:r>
      <w:r w:rsidRPr="00284A4D">
        <w:rPr>
          <w:i/>
        </w:rPr>
        <w:t>Labs</w:t>
      </w:r>
      <w:proofErr w:type="spellEnd"/>
      <w:r>
        <w:t>.</w:t>
      </w:r>
    </w:p>
    <w:p w:rsidR="00284A4D" w:rsidRDefault="00284A4D" w:rsidP="00D01BBF">
      <w:pPr>
        <w:spacing w:after="0" w:line="240" w:lineRule="auto"/>
        <w:jc w:val="both"/>
      </w:pPr>
    </w:p>
    <w:p w:rsidR="00284A4D" w:rsidRDefault="00284A4D" w:rsidP="00D01BBF">
      <w:pPr>
        <w:spacing w:after="0" w:line="240" w:lineRule="auto"/>
        <w:jc w:val="both"/>
      </w:pPr>
      <w:r>
        <w:lastRenderedPageBreak/>
        <w:t>Se apoyará especial</w:t>
      </w:r>
      <w:r>
        <w:t xml:space="preserve">mente </w:t>
      </w:r>
      <w:r w:rsidR="00EA175C">
        <w:t xml:space="preserve">aquellos proyectos que </w:t>
      </w:r>
      <w:r>
        <w:t>combin</w:t>
      </w:r>
      <w:r w:rsidR="00EA175C">
        <w:t>en</w:t>
      </w:r>
      <w:r>
        <w:t xml:space="preserve"> difer</w:t>
      </w:r>
      <w:r w:rsidR="00EA175C">
        <w:t>entes instrumentos de inversión</w:t>
      </w:r>
      <w:r>
        <w:t xml:space="preserve">, como el </w:t>
      </w:r>
      <w:r w:rsidR="00EA175C">
        <w:t xml:space="preserve"> </w:t>
      </w:r>
      <w:r w:rsidR="00EA175C" w:rsidRPr="00EA175C">
        <w:t>Fondos Estructurales y de Inversión Europeos (Fondos «EIE»)</w:t>
      </w:r>
      <w:r w:rsidR="00EA175C">
        <w:rPr>
          <w:rStyle w:val="Refdenotaalpie"/>
        </w:rPr>
        <w:footnoteReference w:id="2"/>
      </w:r>
      <w:r w:rsidR="00EA175C">
        <w:t xml:space="preserve"> </w:t>
      </w:r>
      <w:r>
        <w:t>y</w:t>
      </w:r>
      <w:r w:rsidR="00EA175C">
        <w:t xml:space="preserve"> COSME</w:t>
      </w:r>
      <w:r>
        <w:t>, Horizonte 2020 y el Fondo Europeo de Inversiones Estratégicas (EFSI).</w:t>
      </w:r>
    </w:p>
    <w:p w:rsidR="00284A4D" w:rsidRDefault="00284A4D" w:rsidP="00D01BBF">
      <w:pPr>
        <w:spacing w:after="0" w:line="240" w:lineRule="auto"/>
        <w:jc w:val="both"/>
      </w:pPr>
    </w:p>
    <w:p w:rsidR="00284A4D" w:rsidRDefault="00284A4D" w:rsidP="00D01BBF">
      <w:pPr>
        <w:spacing w:after="0" w:line="240" w:lineRule="auto"/>
        <w:jc w:val="both"/>
      </w:pPr>
    </w:p>
    <w:p w:rsidR="00466201" w:rsidRPr="00F5686A" w:rsidRDefault="00EA175C" w:rsidP="00D01BBF">
      <w:pPr>
        <w:pStyle w:val="Ttulo2"/>
        <w:spacing w:before="0" w:line="240" w:lineRule="auto"/>
      </w:pPr>
      <w:bookmarkStart w:id="2" w:name="_Toc462295626"/>
      <w:r w:rsidRPr="00EA175C">
        <w:t>Plataforma de Especialización Inteligente para la Industria Agroalimentaria (S3P Agroalimentaria)</w:t>
      </w:r>
      <w:r w:rsidR="000F6F50">
        <w:rPr>
          <w:rStyle w:val="Refdenotaalpie"/>
        </w:rPr>
        <w:footnoteReference w:id="3"/>
      </w:r>
      <w:bookmarkEnd w:id="2"/>
    </w:p>
    <w:p w:rsidR="001535E7" w:rsidRPr="00F5686A" w:rsidRDefault="001535E7" w:rsidP="00D01BBF">
      <w:pPr>
        <w:spacing w:after="0" w:line="240" w:lineRule="auto"/>
        <w:jc w:val="both"/>
      </w:pPr>
    </w:p>
    <w:p w:rsidR="00B33FFD" w:rsidRDefault="00B33FFD" w:rsidP="00D01BBF">
      <w:pPr>
        <w:spacing w:after="0" w:line="240" w:lineRule="auto"/>
        <w:jc w:val="both"/>
      </w:pPr>
    </w:p>
    <w:p w:rsidR="00EA175C" w:rsidRDefault="00EA175C" w:rsidP="00D01BBF">
      <w:pPr>
        <w:spacing w:after="0" w:line="240" w:lineRule="auto"/>
        <w:jc w:val="both"/>
      </w:pPr>
      <w:r>
        <w:t>La Plataforma de Especialización Inteligente para la Industria Agroalim</w:t>
      </w:r>
      <w:r>
        <w:t xml:space="preserve">entaria (S3P Agroalimentaria) </w:t>
      </w:r>
      <w:r>
        <w:t xml:space="preserve">tiene como objetivo acelerar el desarrollo de proyectos de inversión conjunta en la UE mediante el fomento y apoyo a la </w:t>
      </w:r>
      <w:r w:rsidRPr="00EA175C">
        <w:rPr>
          <w:b/>
        </w:rPr>
        <w:t>cooperación interregional</w:t>
      </w:r>
      <w:r>
        <w:t xml:space="preserve"> en áreas temáticas sobre la base de las prioridades de especialización inteligente planteados por </w:t>
      </w:r>
      <w:r>
        <w:t>los</w:t>
      </w:r>
      <w:r>
        <w:t xml:space="preserve"> Gobierno</w:t>
      </w:r>
      <w:r>
        <w:t>s</w:t>
      </w:r>
      <w:r>
        <w:t xml:space="preserve"> regional</w:t>
      </w:r>
      <w:r>
        <w:t>es</w:t>
      </w:r>
      <w:r>
        <w:t xml:space="preserve"> </w:t>
      </w:r>
      <w:r>
        <w:t>o</w:t>
      </w:r>
      <w:r>
        <w:t xml:space="preserve"> nacional</w:t>
      </w:r>
      <w:r>
        <w:t>es, vinculados</w:t>
      </w:r>
      <w:r>
        <w:t xml:space="preserve"> a la agricultura y la alimentación.</w:t>
      </w:r>
    </w:p>
    <w:p w:rsidR="000F6F50" w:rsidRDefault="000F6F50" w:rsidP="00D01BBF">
      <w:pPr>
        <w:spacing w:after="0" w:line="240" w:lineRule="auto"/>
        <w:jc w:val="both"/>
      </w:pPr>
    </w:p>
    <w:p w:rsidR="00EA175C" w:rsidRDefault="00EA175C" w:rsidP="00D01BBF">
      <w:pPr>
        <w:spacing w:after="0" w:line="240" w:lineRule="auto"/>
        <w:jc w:val="both"/>
      </w:pPr>
      <w:r w:rsidRPr="000F6F50">
        <w:rPr>
          <w:b/>
        </w:rPr>
        <w:t>Objetivo</w:t>
      </w:r>
      <w:r w:rsidR="000F6F50">
        <w:rPr>
          <w:b/>
        </w:rPr>
        <w:t xml:space="preserve">: </w:t>
      </w:r>
      <w:r>
        <w:t>El objetivo cla</w:t>
      </w:r>
      <w:r w:rsidR="000F6F50">
        <w:t>ve de la S3P Agroalimentaria</w:t>
      </w:r>
      <w:r>
        <w:t xml:space="preserve"> es orquestar y apoyar los esfuerzos de las regiones de la UE </w:t>
      </w:r>
      <w:r w:rsidR="000F6F50">
        <w:t xml:space="preserve">que estén </w:t>
      </w:r>
      <w:r>
        <w:t>comprometi</w:t>
      </w:r>
      <w:r w:rsidR="000F6F50">
        <w:t>das</w:t>
      </w:r>
      <w:r>
        <w:t xml:space="preserve"> a trabajar junt</w:t>
      </w:r>
      <w:r w:rsidR="000F6F50">
        <w:t>a</w:t>
      </w:r>
      <w:r>
        <w:t xml:space="preserve">s para desarrollar una serie de proyectos de inversión relacionados </w:t>
      </w:r>
      <w:r w:rsidR="000F6F50">
        <w:t>con</w:t>
      </w:r>
      <w:r>
        <w:t xml:space="preserve"> las áreas temáticas específicas de las prioridades de especialización inteligente a través de la cooperación interregional. El S3P Agroalimentari</w:t>
      </w:r>
      <w:r w:rsidR="000F6F50">
        <w:t>o</w:t>
      </w:r>
      <w:r>
        <w:t xml:space="preserve"> será </w:t>
      </w:r>
      <w:proofErr w:type="spellStart"/>
      <w:r>
        <w:t>co</w:t>
      </w:r>
      <w:proofErr w:type="spellEnd"/>
      <w:r>
        <w:t xml:space="preserve">-desarrollado y </w:t>
      </w:r>
      <w:proofErr w:type="spellStart"/>
      <w:r>
        <w:t>co</w:t>
      </w:r>
      <w:proofErr w:type="spellEnd"/>
      <w:r>
        <w:t>-</w:t>
      </w:r>
      <w:r w:rsidR="000F6F50">
        <w:t xml:space="preserve">dirigido </w:t>
      </w:r>
      <w:r>
        <w:t xml:space="preserve">por las propias regiones, lo que garantiza una participación activa y el compromiso de la industria y las organizaciones empresariales y </w:t>
      </w:r>
      <w:proofErr w:type="spellStart"/>
      <w:r>
        <w:t>clusters</w:t>
      </w:r>
      <w:proofErr w:type="spellEnd"/>
      <w:r>
        <w:t xml:space="preserve"> relacionados, así como las instituciones de investigación, la academia y la sociedad civil.</w:t>
      </w:r>
    </w:p>
    <w:p w:rsidR="00EA175C" w:rsidRDefault="00EA175C" w:rsidP="00D01BBF">
      <w:pPr>
        <w:spacing w:after="0" w:line="240" w:lineRule="auto"/>
        <w:jc w:val="both"/>
      </w:pPr>
    </w:p>
    <w:p w:rsidR="00EA175C" w:rsidRDefault="000F6F50" w:rsidP="00D01BBF">
      <w:pPr>
        <w:spacing w:after="0" w:line="240" w:lineRule="auto"/>
        <w:jc w:val="both"/>
      </w:pPr>
      <w:r>
        <w:t>La S3 de Sevilla espera que l</w:t>
      </w:r>
      <w:r w:rsidR="00EA175C">
        <w:t>as oportunidades de inversión generadas por el S3P Agroalimentario contribuirá a una cadena alimentaria más competitiva y sostenible de la UE, los sistemas alimentarios más resistentes, y para una orientación más eficaz de los fondos regionales de la UE sobre el crecimiento y el empleo, especialmente a través de las numerosas PYME y micro-empresas que componen esta cadena. La Plataforma también promoverá la complementariedad de los instrumentos de financiación en el apoyo de una cartera de proyectos de inversión.</w:t>
      </w:r>
    </w:p>
    <w:p w:rsidR="00EA175C" w:rsidRDefault="00EA175C" w:rsidP="00D01BBF">
      <w:pPr>
        <w:spacing w:after="0" w:line="240" w:lineRule="auto"/>
        <w:jc w:val="both"/>
      </w:pPr>
    </w:p>
    <w:p w:rsidR="0049379C" w:rsidRDefault="0049379C" w:rsidP="00D01BBF">
      <w:pPr>
        <w:spacing w:after="0" w:line="240" w:lineRule="auto"/>
        <w:jc w:val="both"/>
      </w:pPr>
    </w:p>
    <w:p w:rsidR="00376A6C" w:rsidRPr="00376A6C" w:rsidRDefault="000F6F50" w:rsidP="00D01BBF">
      <w:pPr>
        <w:pStyle w:val="Ttulo2"/>
        <w:spacing w:before="0" w:line="240" w:lineRule="auto"/>
      </w:pPr>
      <w:bookmarkStart w:id="3" w:name="_Toc462295627"/>
      <w:r>
        <w:t>Modernización industrial</w:t>
      </w:r>
      <w:r>
        <w:rPr>
          <w:rStyle w:val="Refdenotaalpie"/>
        </w:rPr>
        <w:footnoteReference w:id="4"/>
      </w:r>
      <w:bookmarkEnd w:id="3"/>
    </w:p>
    <w:p w:rsidR="00376A6C" w:rsidRDefault="00376A6C" w:rsidP="00D01BBF">
      <w:pPr>
        <w:spacing w:after="0" w:line="240" w:lineRule="auto"/>
      </w:pPr>
    </w:p>
    <w:p w:rsidR="000F6F50" w:rsidRDefault="000F6F50" w:rsidP="00D01BBF">
      <w:pPr>
        <w:spacing w:after="0" w:line="240" w:lineRule="auto"/>
        <w:jc w:val="both"/>
      </w:pPr>
    </w:p>
    <w:p w:rsidR="000F6F50" w:rsidRDefault="000F6F50" w:rsidP="00D01BBF">
      <w:pPr>
        <w:spacing w:after="0" w:line="240" w:lineRule="auto"/>
        <w:jc w:val="both"/>
      </w:pPr>
      <w:r>
        <w:t xml:space="preserve">El objetivo clave de la plataforma de especialización inteligente para </w:t>
      </w:r>
      <w:r>
        <w:t xml:space="preserve">la Modernización </w:t>
      </w:r>
      <w:r>
        <w:t xml:space="preserve">Industrial (S3P-Industrial </w:t>
      </w:r>
      <w:proofErr w:type="spellStart"/>
      <w:r>
        <w:t>Modernisation</w:t>
      </w:r>
      <w:proofErr w:type="spellEnd"/>
      <w:r>
        <w:t xml:space="preserve">) será la de proporcionar una plataforma para apoyar los esfuerzos de las regiones de la UE </w:t>
      </w:r>
      <w:r>
        <w:t xml:space="preserve">que </w:t>
      </w:r>
      <w:r>
        <w:t>se compromet</w:t>
      </w:r>
      <w:r>
        <w:t>a</w:t>
      </w:r>
      <w:r>
        <w:t xml:space="preserve">n a trabajar juntos para desarrollar una serie de proyectos de inversión relacionados con sus áreas prioritarias RIS3 relacionados con </w:t>
      </w:r>
      <w:r>
        <w:t>este tema</w:t>
      </w:r>
      <w:r>
        <w:t>.</w:t>
      </w:r>
      <w:r>
        <w:t xml:space="preserve"> </w:t>
      </w:r>
    </w:p>
    <w:p w:rsidR="000F6F50" w:rsidRDefault="000F6F50" w:rsidP="00D01BBF">
      <w:pPr>
        <w:spacing w:after="0" w:line="240" w:lineRule="auto"/>
        <w:jc w:val="both"/>
      </w:pPr>
    </w:p>
    <w:p w:rsidR="000F6F50" w:rsidRDefault="000F6F50" w:rsidP="00D01BBF">
      <w:pPr>
        <w:spacing w:after="0" w:line="240" w:lineRule="auto"/>
        <w:jc w:val="both"/>
      </w:pPr>
      <w:r>
        <w:t xml:space="preserve">El S3P-Industrial </w:t>
      </w:r>
      <w:proofErr w:type="spellStart"/>
      <w:r>
        <w:t>Modernisation</w:t>
      </w:r>
      <w:proofErr w:type="spellEnd"/>
      <w:r>
        <w:t xml:space="preserve"> </w:t>
      </w:r>
      <w:r>
        <w:t xml:space="preserve">será </w:t>
      </w:r>
      <w:proofErr w:type="spellStart"/>
      <w:r>
        <w:t>co</w:t>
      </w:r>
      <w:proofErr w:type="spellEnd"/>
      <w:r>
        <w:t xml:space="preserve">-desarrollado y </w:t>
      </w:r>
      <w:proofErr w:type="spellStart"/>
      <w:r w:rsidR="00F21A3B">
        <w:t>co</w:t>
      </w:r>
      <w:proofErr w:type="spellEnd"/>
      <w:r w:rsidR="00F21A3B">
        <w:t>-dirigido</w:t>
      </w:r>
      <w:r>
        <w:t xml:space="preserve"> por las propias regiones, asegurando una participación activa y el compromiso de los llamados actores cuádruple hélice, es decir, la industria </w:t>
      </w:r>
      <w:r w:rsidR="00F21A3B">
        <w:t>y</w:t>
      </w:r>
      <w:r>
        <w:t xml:space="preserve"> las organizaciones empresariales afines, </w:t>
      </w:r>
      <w:r w:rsidR="00F21A3B">
        <w:t xml:space="preserve">así como los centros de </w:t>
      </w:r>
      <w:r>
        <w:t>investigación, el mundo académico y la sociedad civil.</w:t>
      </w:r>
    </w:p>
    <w:p w:rsidR="000F6F50" w:rsidRDefault="000F6F50" w:rsidP="00D01BBF">
      <w:pPr>
        <w:spacing w:after="0" w:line="240" w:lineRule="auto"/>
        <w:jc w:val="both"/>
      </w:pPr>
    </w:p>
    <w:p w:rsidR="00CC652E" w:rsidRDefault="000F6F50" w:rsidP="00D01BBF">
      <w:pPr>
        <w:spacing w:after="0" w:line="240" w:lineRule="auto"/>
        <w:jc w:val="both"/>
      </w:pPr>
      <w:r>
        <w:lastRenderedPageBreak/>
        <w:t xml:space="preserve">Como resultado de la puesta en marcha de la Plataforma en el inteligentes Regiones conferencia el 2 de junio de 2016, las regiones de la UE han sido invitados a proponer una determinada área temática relacionada con la modernización industrial que está relacionada con su área de prioridad RIS3 (s) y en los que deseen colaborar con otras regiones y partes interesadas en la perspectiva de iniciar una asociación de </w:t>
      </w:r>
      <w:proofErr w:type="spellStart"/>
      <w:r>
        <w:t>co</w:t>
      </w:r>
      <w:proofErr w:type="spellEnd"/>
      <w:r>
        <w:t>-inversión.</w:t>
      </w:r>
      <w:r w:rsidR="00EC561B">
        <w:t xml:space="preserve"> </w:t>
      </w:r>
    </w:p>
    <w:p w:rsidR="0049379C" w:rsidRDefault="0049379C" w:rsidP="00D01BBF">
      <w:pPr>
        <w:spacing w:after="0" w:line="240" w:lineRule="auto"/>
        <w:jc w:val="both"/>
      </w:pPr>
    </w:p>
    <w:p w:rsidR="0049379C" w:rsidRPr="0049379C" w:rsidRDefault="0049379C" w:rsidP="00D01BBF">
      <w:pPr>
        <w:spacing w:after="0" w:line="240" w:lineRule="auto"/>
        <w:jc w:val="both"/>
        <w:rPr>
          <w:b/>
        </w:rPr>
      </w:pPr>
      <w:hyperlink r:id="rId9" w:history="1">
        <w:r w:rsidRPr="0049379C">
          <w:rPr>
            <w:rStyle w:val="Hipervnculo"/>
            <w:b/>
          </w:rPr>
          <w:t xml:space="preserve">El 16 de noviembre han organizado un </w:t>
        </w:r>
        <w:proofErr w:type="spellStart"/>
        <w:r w:rsidRPr="0049379C">
          <w:rPr>
            <w:rStyle w:val="Hipervnculo"/>
            <w:b/>
          </w:rPr>
          <w:t>kick</w:t>
        </w:r>
        <w:proofErr w:type="spellEnd"/>
        <w:r w:rsidRPr="0049379C">
          <w:rPr>
            <w:rStyle w:val="Hipervnculo"/>
            <w:b/>
          </w:rPr>
          <w:t xml:space="preserve">-off </w:t>
        </w:r>
        <w:proofErr w:type="spellStart"/>
        <w:r w:rsidRPr="0049379C">
          <w:rPr>
            <w:rStyle w:val="Hipervnculo"/>
            <w:b/>
          </w:rPr>
          <w:t>event</w:t>
        </w:r>
        <w:proofErr w:type="spellEnd"/>
        <w:r w:rsidRPr="0049379C">
          <w:rPr>
            <w:rStyle w:val="Hipervnculo"/>
            <w:b/>
          </w:rPr>
          <w:t xml:space="preserve"> en Barcelona</w:t>
        </w:r>
      </w:hyperlink>
      <w:r w:rsidRPr="0049379C">
        <w:rPr>
          <w:b/>
        </w:rPr>
        <w:t>.</w:t>
      </w:r>
      <w:r w:rsidR="00D01BBF">
        <w:rPr>
          <w:b/>
        </w:rPr>
        <w:t xml:space="preserve"> Se está valorando acudir como </w:t>
      </w:r>
      <w:proofErr w:type="spellStart"/>
      <w:r w:rsidR="00D01BBF">
        <w:rPr>
          <w:b/>
        </w:rPr>
        <w:t>Vanguard</w:t>
      </w:r>
      <w:proofErr w:type="spellEnd"/>
      <w:r w:rsidR="00D01BBF">
        <w:rPr>
          <w:b/>
        </w:rPr>
        <w:t xml:space="preserve"> </w:t>
      </w:r>
      <w:proofErr w:type="spellStart"/>
      <w:r w:rsidR="00D01BBF">
        <w:rPr>
          <w:b/>
        </w:rPr>
        <w:t>Initiative</w:t>
      </w:r>
      <w:proofErr w:type="spellEnd"/>
      <w:r w:rsidR="00D01BBF">
        <w:rPr>
          <w:b/>
        </w:rPr>
        <w:t>.</w:t>
      </w:r>
    </w:p>
    <w:p w:rsidR="0049379C" w:rsidRDefault="0049379C" w:rsidP="00D01BBF">
      <w:pPr>
        <w:spacing w:after="0" w:line="240" w:lineRule="auto"/>
        <w:jc w:val="both"/>
      </w:pPr>
    </w:p>
    <w:p w:rsidR="0049379C" w:rsidRDefault="0049379C" w:rsidP="00D01BBF">
      <w:pPr>
        <w:spacing w:after="0" w:line="240" w:lineRule="auto"/>
        <w:jc w:val="both"/>
      </w:pPr>
    </w:p>
    <w:p w:rsidR="00CC652E" w:rsidRPr="00CC652E" w:rsidRDefault="00181A28" w:rsidP="00AB43A5">
      <w:pPr>
        <w:pStyle w:val="Ttulo2"/>
      </w:pPr>
      <w:bookmarkStart w:id="4" w:name="_Toc462295628"/>
      <w:r w:rsidRPr="00181A28">
        <w:t>Plataforma de Especialización Inteligente de Energía (S3PEnergy)</w:t>
      </w:r>
      <w:bookmarkEnd w:id="4"/>
    </w:p>
    <w:p w:rsidR="00CC652E" w:rsidRDefault="00CC652E" w:rsidP="00D01BBF">
      <w:pPr>
        <w:spacing w:after="0" w:line="240" w:lineRule="auto"/>
        <w:jc w:val="both"/>
      </w:pPr>
    </w:p>
    <w:p w:rsidR="00181A28" w:rsidRDefault="00181A28" w:rsidP="00D01BBF">
      <w:pPr>
        <w:spacing w:after="0" w:line="240" w:lineRule="auto"/>
        <w:jc w:val="both"/>
      </w:pPr>
    </w:p>
    <w:p w:rsidR="00181A28" w:rsidRDefault="00181A28" w:rsidP="00D01BBF">
      <w:pPr>
        <w:spacing w:after="0" w:line="240" w:lineRule="auto"/>
        <w:jc w:val="both"/>
      </w:pPr>
      <w:r w:rsidRPr="00181A28">
        <w:t>La Plataforma de Especialización Inteligente de Energía (S3PEnergy) es el espacio donde los Estados miembros</w:t>
      </w:r>
      <w:r>
        <w:t xml:space="preserve"> y</w:t>
      </w:r>
      <w:r w:rsidRPr="00181A28">
        <w:t xml:space="preserve"> las regiones reciben apoyo para la absorción óptima y eficaz de los fondos de cohesión para la energía sostenible. El S3PEnergy también promueve actividades de innovación energética a nivel nacional, regional y local a través de la identificación de tecnologías y soluciones innovadoras que apoyan, de la manera más rentable, las prioridades de la política energética de la UE.</w:t>
      </w:r>
    </w:p>
    <w:p w:rsidR="00181A28" w:rsidRDefault="00181A28" w:rsidP="00D01BBF">
      <w:pPr>
        <w:spacing w:after="0" w:line="240" w:lineRule="auto"/>
        <w:jc w:val="both"/>
      </w:pPr>
    </w:p>
    <w:p w:rsidR="00181A28" w:rsidRPr="00181A28" w:rsidRDefault="00181A28" w:rsidP="00D01BBF">
      <w:pPr>
        <w:spacing w:after="0" w:line="240" w:lineRule="auto"/>
        <w:jc w:val="both"/>
      </w:pPr>
      <w:r w:rsidRPr="00181A28">
        <w:t>El S3PEnergy es una iniciativa conjunta de las Direcciones Generales de Política Urbana del Centro Común de Investigación (CCI)</w:t>
      </w:r>
      <w:r>
        <w:t>, DG REGIO</w:t>
      </w:r>
      <w:r w:rsidRPr="00181A28">
        <w:t xml:space="preserve"> y </w:t>
      </w:r>
      <w:r>
        <w:t xml:space="preserve">DG Energía y el JRC. </w:t>
      </w:r>
      <w:r w:rsidRPr="00181A28">
        <w:t xml:space="preserve">El S3PEnergy </w:t>
      </w:r>
      <w:r>
        <w:t xml:space="preserve">tiene como meta </w:t>
      </w:r>
      <w:r w:rsidRPr="00181A28">
        <w:t>convertirse en una herramienta que permit</w:t>
      </w:r>
      <w:r>
        <w:t>a</w:t>
      </w:r>
      <w:r w:rsidRPr="00181A28">
        <w:t xml:space="preserve"> a las regiones coordinar, racionalizar y planificar sus estrategias energéticas, desarrollar una visión compartida sobre el desarrollo de la política energética basada en el conocimiento, y establec</w:t>
      </w:r>
      <w:r>
        <w:t>er</w:t>
      </w:r>
      <w:r w:rsidRPr="00181A28">
        <w:t xml:space="preserve"> una agenda estratégica de trabajo colaborativo. El objetivo principal de la S3PEnergy es apoyar la absorción óptima y eficaz de los fondos de la Política de Cohesión para la energía, y para alinear mejor las actividades de innovación de energía a nivel nacional, local y regional a través de la identificación de las tecnologías y soluciones innovadoras. El S3PEnergy contribuirá las prioridades de la política energética de la UE, facilitando las asociaciones entre regiones de la UE que han identificado las tecnologías de energías renovables y soluciones energéticas innovadoras como sus prioridades de especialización inteligente y promoviendo la convergencia entre las actividades locales, regionales, nacionales y europeas en la sostenibilidad energética, la competitividad y la seguridad de suministro.</w:t>
      </w:r>
    </w:p>
    <w:p w:rsidR="00181A28" w:rsidRDefault="00181A28" w:rsidP="00D01BBF">
      <w:pPr>
        <w:spacing w:after="0" w:line="240" w:lineRule="auto"/>
        <w:jc w:val="both"/>
      </w:pPr>
    </w:p>
    <w:p w:rsidR="00181A28" w:rsidRDefault="00181A28" w:rsidP="00D01BBF">
      <w:pPr>
        <w:spacing w:after="0" w:line="240" w:lineRule="auto"/>
        <w:jc w:val="both"/>
      </w:pPr>
      <w:r>
        <w:t xml:space="preserve">Las principales </w:t>
      </w:r>
      <w:r>
        <w:t>áreas de trabajo (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packages</w:t>
      </w:r>
      <w:proofErr w:type="spellEnd"/>
      <w:r>
        <w:t xml:space="preserve"> - </w:t>
      </w:r>
      <w:r w:rsidRPr="00181A28">
        <w:t>WP)</w:t>
      </w:r>
      <w:r>
        <w:t xml:space="preserve"> </w:t>
      </w:r>
      <w:r>
        <w:t>del S3PEnergy s</w:t>
      </w:r>
      <w:r>
        <w:t>on</w:t>
      </w:r>
      <w:r>
        <w:t>:</w:t>
      </w:r>
    </w:p>
    <w:p w:rsidR="00181A28" w:rsidRDefault="00181A28" w:rsidP="00D01BBF">
      <w:pPr>
        <w:spacing w:after="0" w:line="240" w:lineRule="auto"/>
        <w:jc w:val="both"/>
      </w:pPr>
    </w:p>
    <w:p w:rsidR="00181A28" w:rsidRDefault="00181A28" w:rsidP="00D01BBF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 xml:space="preserve">WP1 - Investigación de políticas y asesoramiento sobre </w:t>
      </w:r>
      <w:r w:rsidR="0049379C">
        <w:t>su</w:t>
      </w:r>
      <w:r>
        <w:t xml:space="preserve"> ejecución.</w:t>
      </w:r>
    </w:p>
    <w:p w:rsidR="00181A28" w:rsidRDefault="00181A28" w:rsidP="00D01BBF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WP2-</w:t>
      </w:r>
      <w:r w:rsidR="0049379C">
        <w:t xml:space="preserve">Marco de </w:t>
      </w:r>
      <w:r>
        <w:t>aprendizaje transnacional: consejos temáticos y '</w:t>
      </w:r>
      <w:proofErr w:type="spellStart"/>
      <w:r>
        <w:t>Matchmaking</w:t>
      </w:r>
      <w:proofErr w:type="spellEnd"/>
      <w:r>
        <w:t>' para las regiones.</w:t>
      </w:r>
    </w:p>
    <w:p w:rsidR="00181A28" w:rsidRDefault="00181A28" w:rsidP="00D01BBF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WP3 - Información, comunicación y difusión de actividades.</w:t>
      </w:r>
    </w:p>
    <w:p w:rsidR="00181A28" w:rsidRPr="00181A28" w:rsidRDefault="00181A28" w:rsidP="00D01BBF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WP4 - Información específica y análisis en apoyo de la DG REGIO y ENER</w:t>
      </w:r>
    </w:p>
    <w:p w:rsidR="00181A28" w:rsidRDefault="00181A28" w:rsidP="00D01BBF">
      <w:pPr>
        <w:spacing w:after="0" w:line="240" w:lineRule="auto"/>
        <w:jc w:val="both"/>
      </w:pPr>
    </w:p>
    <w:p w:rsidR="00181A28" w:rsidRDefault="0049379C" w:rsidP="00D01BBF">
      <w:pPr>
        <w:spacing w:after="0" w:line="240" w:lineRule="auto"/>
        <w:jc w:val="both"/>
      </w:pPr>
      <w:r>
        <w:t>El SP3Energy ha desarrollado diversas áreas sub-temáticas:</w:t>
      </w:r>
    </w:p>
    <w:p w:rsidR="0049379C" w:rsidRDefault="0049379C" w:rsidP="00D01BBF">
      <w:pPr>
        <w:spacing w:after="0" w:line="240" w:lineRule="auto"/>
        <w:jc w:val="both"/>
      </w:pPr>
    </w:p>
    <w:p w:rsidR="0049379C" w:rsidRPr="0049379C" w:rsidRDefault="0049379C" w:rsidP="00D01BBF">
      <w:pPr>
        <w:pStyle w:val="Prrafodelista"/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 w:rsidRPr="0049379C">
        <w:rPr>
          <w:lang w:val="en-US"/>
        </w:rPr>
        <w:t>Carbon Capture and Utilization</w:t>
      </w:r>
    </w:p>
    <w:p w:rsidR="0049379C" w:rsidRPr="0049379C" w:rsidRDefault="0049379C" w:rsidP="00D01BBF">
      <w:pPr>
        <w:pStyle w:val="Prrafodelista"/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 w:rsidRPr="0049379C">
        <w:rPr>
          <w:lang w:val="en-US"/>
        </w:rPr>
        <w:t>Concentrated Solar Power</w:t>
      </w:r>
    </w:p>
    <w:p w:rsidR="0049379C" w:rsidRPr="0049379C" w:rsidRDefault="0049379C" w:rsidP="00D01BBF">
      <w:pPr>
        <w:pStyle w:val="Prrafodelista"/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 w:rsidRPr="0049379C">
        <w:rPr>
          <w:lang w:val="en-US"/>
        </w:rPr>
        <w:t>Geothermal Energy</w:t>
      </w:r>
    </w:p>
    <w:p w:rsidR="0049379C" w:rsidRPr="0049379C" w:rsidRDefault="0049379C" w:rsidP="00D01BBF">
      <w:pPr>
        <w:pStyle w:val="Prrafodelista"/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 w:rsidRPr="0049379C">
        <w:rPr>
          <w:lang w:val="en-US"/>
        </w:rPr>
        <w:t>Hydrogen and Fuel Cells</w:t>
      </w:r>
    </w:p>
    <w:p w:rsidR="0049379C" w:rsidRPr="0049379C" w:rsidRDefault="0049379C" w:rsidP="00D01BBF">
      <w:pPr>
        <w:pStyle w:val="Prrafodelista"/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 w:rsidRPr="0049379C">
        <w:rPr>
          <w:lang w:val="en-US"/>
        </w:rPr>
        <w:t>Ocean Energy</w:t>
      </w:r>
    </w:p>
    <w:p w:rsidR="0049379C" w:rsidRPr="0049379C" w:rsidRDefault="0049379C" w:rsidP="00D01BBF">
      <w:pPr>
        <w:pStyle w:val="Prrafodelista"/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 w:rsidRPr="0049379C">
        <w:rPr>
          <w:lang w:val="en-US"/>
        </w:rPr>
        <w:lastRenderedPageBreak/>
        <w:t>Photovoltaic Solar Energy</w:t>
      </w:r>
    </w:p>
    <w:p w:rsidR="0049379C" w:rsidRPr="0049379C" w:rsidRDefault="0049379C" w:rsidP="00D01BBF">
      <w:pPr>
        <w:pStyle w:val="Prrafodelista"/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 w:rsidRPr="0049379C">
        <w:rPr>
          <w:lang w:val="en-US"/>
        </w:rPr>
        <w:t>Smart Grids</w:t>
      </w:r>
    </w:p>
    <w:p w:rsidR="0049379C" w:rsidRPr="0049379C" w:rsidRDefault="0049379C" w:rsidP="00D01BBF">
      <w:pPr>
        <w:pStyle w:val="Prrafodelista"/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 w:rsidRPr="0049379C">
        <w:rPr>
          <w:lang w:val="en-US"/>
        </w:rPr>
        <w:t>Strategic Energy Technology Plan</w:t>
      </w:r>
    </w:p>
    <w:p w:rsidR="0049379C" w:rsidRDefault="0049379C" w:rsidP="00D01BBF">
      <w:pPr>
        <w:pStyle w:val="Prrafodelista"/>
        <w:numPr>
          <w:ilvl w:val="0"/>
          <w:numId w:val="7"/>
        </w:numPr>
        <w:spacing w:after="0" w:line="240" w:lineRule="auto"/>
        <w:jc w:val="both"/>
      </w:pPr>
      <w:hyperlink r:id="rId10" w:history="1">
        <w:proofErr w:type="spellStart"/>
        <w:r w:rsidRPr="0049379C">
          <w:rPr>
            <w:rStyle w:val="Hipervnculo"/>
          </w:rPr>
          <w:t>Wind</w:t>
        </w:r>
        <w:proofErr w:type="spellEnd"/>
        <w:r w:rsidRPr="0049379C">
          <w:rPr>
            <w:rStyle w:val="Hipervnculo"/>
          </w:rPr>
          <w:t xml:space="preserve"> </w:t>
        </w:r>
        <w:proofErr w:type="spellStart"/>
        <w:r w:rsidRPr="0049379C">
          <w:rPr>
            <w:rStyle w:val="Hipervnculo"/>
          </w:rPr>
          <w:t>Energy</w:t>
        </w:r>
        <w:proofErr w:type="spellEnd"/>
      </w:hyperlink>
    </w:p>
    <w:p w:rsidR="0049379C" w:rsidRDefault="0049379C" w:rsidP="00D01BBF">
      <w:pPr>
        <w:spacing w:after="0" w:line="240" w:lineRule="auto"/>
        <w:jc w:val="both"/>
      </w:pPr>
    </w:p>
    <w:p w:rsidR="00D01BBF" w:rsidRDefault="00D01BBF" w:rsidP="00D01BBF">
      <w:pPr>
        <w:spacing w:after="0" w:line="240" w:lineRule="auto"/>
        <w:jc w:val="both"/>
      </w:pPr>
    </w:p>
    <w:p w:rsidR="0049379C" w:rsidRDefault="0049379C" w:rsidP="00AB43A5">
      <w:pPr>
        <w:pStyle w:val="Ttulo2"/>
      </w:pPr>
      <w:bookmarkStart w:id="5" w:name="_Toc462295629"/>
      <w:r>
        <w:t xml:space="preserve">Otras áreas temáticas del S3: digital </w:t>
      </w:r>
      <w:proofErr w:type="spellStart"/>
      <w:r>
        <w:t>growth</w:t>
      </w:r>
      <w:proofErr w:type="spellEnd"/>
      <w:r>
        <w:t xml:space="preserve"> y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chains</w:t>
      </w:r>
      <w:bookmarkEnd w:id="5"/>
      <w:proofErr w:type="spellEnd"/>
    </w:p>
    <w:p w:rsidR="0049379C" w:rsidRDefault="0049379C" w:rsidP="00D01BBF">
      <w:pPr>
        <w:spacing w:after="0" w:line="240" w:lineRule="auto"/>
      </w:pPr>
    </w:p>
    <w:p w:rsidR="0049379C" w:rsidRDefault="0049379C" w:rsidP="00D01BBF">
      <w:pPr>
        <w:spacing w:after="0" w:line="240" w:lineRule="auto"/>
        <w:jc w:val="both"/>
      </w:pPr>
      <w:r>
        <w:t xml:space="preserve">La S3 también ha creado otras dos áreas </w:t>
      </w:r>
      <w:proofErr w:type="spellStart"/>
      <w:r>
        <w:t>temáticasm</w:t>
      </w:r>
      <w:proofErr w:type="spellEnd"/>
      <w:r>
        <w:t xml:space="preserve"> crecimiento digital y cadenas de valor. En este caso todavía no se ha propuesta la creación de una plataforma concreta, pero si se ofrecen servicios de apoyo y asesoramiento por parte de la S3 de Sevilla.</w:t>
      </w:r>
    </w:p>
    <w:p w:rsidR="00D01BBF" w:rsidRDefault="00D01BBF" w:rsidP="00D01BBF">
      <w:pPr>
        <w:spacing w:after="0" w:line="240" w:lineRule="auto"/>
        <w:jc w:val="both"/>
      </w:pPr>
    </w:p>
    <w:p w:rsidR="00D01BBF" w:rsidRPr="0049379C" w:rsidRDefault="00D01BBF" w:rsidP="00D01BBF">
      <w:pPr>
        <w:spacing w:after="0" w:line="240" w:lineRule="auto"/>
        <w:jc w:val="both"/>
      </w:pPr>
    </w:p>
    <w:p w:rsidR="0049379C" w:rsidRDefault="0049379C" w:rsidP="00D01BBF">
      <w:pPr>
        <w:pStyle w:val="Ttulo1"/>
        <w:spacing w:before="0" w:line="240" w:lineRule="auto"/>
      </w:pPr>
      <w:bookmarkStart w:id="6" w:name="_Toc462295630"/>
      <w:r>
        <w:t>Propuesta de creación de consorcios regionales en torno a áreas temáticas</w:t>
      </w:r>
      <w:bookmarkEnd w:id="6"/>
    </w:p>
    <w:p w:rsidR="0049379C" w:rsidRDefault="0049379C" w:rsidP="00D01BBF">
      <w:pPr>
        <w:spacing w:after="0" w:line="240" w:lineRule="auto"/>
      </w:pPr>
    </w:p>
    <w:p w:rsidR="00D01BBF" w:rsidRDefault="00D01BBF" w:rsidP="00D01BBF">
      <w:pPr>
        <w:spacing w:after="0" w:line="240" w:lineRule="auto"/>
      </w:pPr>
    </w:p>
    <w:p w:rsidR="00D01BBF" w:rsidRDefault="0049379C" w:rsidP="00D01BBF">
      <w:pPr>
        <w:spacing w:after="0" w:line="240" w:lineRule="auto"/>
        <w:jc w:val="both"/>
      </w:pPr>
      <w:r>
        <w:t xml:space="preserve">Tanto el </w:t>
      </w:r>
      <w:r>
        <w:t>S3P Agroalimentaria</w:t>
      </w:r>
      <w:r>
        <w:t xml:space="preserve">, como el </w:t>
      </w:r>
      <w:r>
        <w:t xml:space="preserve">S3P-Industrial </w:t>
      </w:r>
      <w:proofErr w:type="spellStart"/>
      <w:r>
        <w:t>Modernisation</w:t>
      </w:r>
      <w:proofErr w:type="spellEnd"/>
      <w:r>
        <w:t xml:space="preserve"> han invitado a las regiones</w:t>
      </w:r>
      <w:r w:rsidRPr="0049379C">
        <w:t xml:space="preserve"> a proponer una determinada área temática industrial que está relacionada con su área de prioridad RIS3 y en los que deseen colaborar con otras regiones y partes interesadas en la perspectiva de iniciar una asociación de </w:t>
      </w:r>
      <w:proofErr w:type="spellStart"/>
      <w:r w:rsidRPr="0049379C">
        <w:t>co</w:t>
      </w:r>
      <w:proofErr w:type="spellEnd"/>
      <w:r w:rsidRPr="0049379C">
        <w:t>-inversión.</w:t>
      </w:r>
      <w:r w:rsidR="00D01BBF">
        <w:t xml:space="preserve"> </w:t>
      </w:r>
    </w:p>
    <w:p w:rsidR="00D01BBF" w:rsidRDefault="00D01BBF" w:rsidP="00D01BBF">
      <w:pPr>
        <w:spacing w:after="0" w:line="240" w:lineRule="auto"/>
        <w:jc w:val="both"/>
      </w:pPr>
    </w:p>
    <w:p w:rsidR="00D01BBF" w:rsidRDefault="00D01BBF" w:rsidP="00D01BBF">
      <w:pPr>
        <w:spacing w:after="0" w:line="240" w:lineRule="auto"/>
        <w:jc w:val="both"/>
      </w:pPr>
      <w:r>
        <w:t>Se ha dispuesto un FORMULARIO para presentar propuestas a la plataforma S3. Hay que definir un área concreta e invitar, al menos, a otras dos regiones a participar en ella.</w:t>
      </w:r>
    </w:p>
    <w:p w:rsidR="00D01BBF" w:rsidRDefault="00D01BBF" w:rsidP="00D01BBF">
      <w:pPr>
        <w:spacing w:after="0" w:line="240" w:lineRule="auto"/>
        <w:jc w:val="both"/>
      </w:pPr>
    </w:p>
    <w:p w:rsidR="00D01BBF" w:rsidRDefault="00D01BBF" w:rsidP="00D01BBF">
      <w:pPr>
        <w:spacing w:after="0" w:line="240" w:lineRule="auto"/>
        <w:jc w:val="both"/>
      </w:pPr>
      <w:hyperlink r:id="rId11" w:history="1">
        <w:r w:rsidRPr="00D01BBF">
          <w:rPr>
            <w:rStyle w:val="Hipervnculo"/>
          </w:rPr>
          <w:t>Ver formulario</w:t>
        </w:r>
      </w:hyperlink>
      <w:r>
        <w:t>.</w:t>
      </w:r>
    </w:p>
    <w:p w:rsidR="00D01BBF" w:rsidRDefault="00D01BBF" w:rsidP="00D01BBF">
      <w:pPr>
        <w:spacing w:after="0" w:line="240" w:lineRule="auto"/>
        <w:jc w:val="both"/>
      </w:pPr>
    </w:p>
    <w:p w:rsidR="00D01BBF" w:rsidRDefault="00D01BBF" w:rsidP="00D01BBF">
      <w:pPr>
        <w:spacing w:after="0" w:line="240" w:lineRule="auto"/>
        <w:jc w:val="both"/>
      </w:pPr>
      <w:r>
        <w:t>Hay que dejar muy claro que estos consorcios NO reciben financiación por parte de la Comisión, tan solo apoyo y asesoramiento.</w:t>
      </w:r>
    </w:p>
    <w:p w:rsidR="00D01BBF" w:rsidRDefault="00D01BBF" w:rsidP="00D01BBF">
      <w:pPr>
        <w:spacing w:after="0" w:line="240" w:lineRule="auto"/>
        <w:jc w:val="both"/>
      </w:pPr>
    </w:p>
    <w:p w:rsidR="0049379C" w:rsidRDefault="00D01BBF" w:rsidP="00D01BBF">
      <w:pPr>
        <w:spacing w:after="0" w:line="240" w:lineRule="auto"/>
        <w:jc w:val="both"/>
      </w:pPr>
      <w:r>
        <w:t>Una vez creados los consorcios, sugieren seguir una metodología:</w:t>
      </w:r>
    </w:p>
    <w:p w:rsidR="00D01BBF" w:rsidRDefault="00D01BBF" w:rsidP="00D01BBF">
      <w:pPr>
        <w:spacing w:after="0" w:line="240" w:lineRule="auto"/>
        <w:jc w:val="both"/>
      </w:pPr>
    </w:p>
    <w:p w:rsidR="00D01BBF" w:rsidRPr="00D01BBF" w:rsidRDefault="00D01BBF" w:rsidP="00D01BB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b/>
        </w:rPr>
      </w:pPr>
      <w:r w:rsidRPr="00D01BBF">
        <w:rPr>
          <w:b/>
        </w:rPr>
        <w:t>Fase 1 - asociación regional para asignar competencias e identificar oportunidades de cooperación Consorcio en tornos a dicha área temática (al menos 3 regiones)</w:t>
      </w:r>
    </w:p>
    <w:p w:rsidR="00D01BBF" w:rsidRPr="00D01BBF" w:rsidRDefault="00D01BBF" w:rsidP="00D01BB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b/>
          <w:bCs/>
        </w:rPr>
      </w:pPr>
      <w:r w:rsidRPr="00D01BBF">
        <w:rPr>
          <w:b/>
          <w:bCs/>
        </w:rPr>
        <w:t>Fase 2</w:t>
      </w:r>
      <w:r w:rsidRPr="00D01BBF">
        <w:rPr>
          <w:b/>
        </w:rPr>
        <w:t> </w:t>
      </w:r>
      <w:r w:rsidRPr="00D01BBF">
        <w:rPr>
          <w:b/>
        </w:rPr>
        <w:t>-</w:t>
      </w:r>
      <w:r w:rsidRPr="00D01BBF">
        <w:rPr>
          <w:b/>
        </w:rPr>
        <w:t> </w:t>
      </w:r>
      <w:r w:rsidRPr="00D01BBF">
        <w:rPr>
          <w:b/>
          <w:bCs/>
        </w:rPr>
        <w:t>Cooperación industrial y diseño de proyectos concretos</w:t>
      </w:r>
    </w:p>
    <w:p w:rsidR="00D01BBF" w:rsidRPr="00D01BBF" w:rsidRDefault="00D01BBF" w:rsidP="00D01BB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b/>
        </w:rPr>
      </w:pPr>
      <w:r w:rsidRPr="00D01BBF">
        <w:rPr>
          <w:b/>
        </w:rPr>
        <w:t>Fase 3 - Plan de Negocios y financiación mezcla</w:t>
      </w:r>
    </w:p>
    <w:p w:rsidR="00D01BBF" w:rsidRPr="00D01BBF" w:rsidRDefault="00D01BBF" w:rsidP="00D01BB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b/>
          <w:bCs/>
        </w:rPr>
      </w:pPr>
      <w:r w:rsidRPr="00D01BBF">
        <w:rPr>
          <w:b/>
          <w:bCs/>
        </w:rPr>
        <w:t>Fase 4</w:t>
      </w:r>
      <w:r w:rsidRPr="00D01BBF">
        <w:rPr>
          <w:b/>
        </w:rPr>
        <w:t> </w:t>
      </w:r>
      <w:r w:rsidRPr="00D01BBF">
        <w:rPr>
          <w:b/>
        </w:rPr>
        <w:t>-</w:t>
      </w:r>
      <w:r w:rsidRPr="00D01BBF">
        <w:rPr>
          <w:b/>
        </w:rPr>
        <w:t> </w:t>
      </w:r>
      <w:r w:rsidRPr="00D01BBF">
        <w:rPr>
          <w:b/>
          <w:bCs/>
        </w:rPr>
        <w:t>Proyectos de inversión</w:t>
      </w:r>
    </w:p>
    <w:p w:rsidR="00D01BBF" w:rsidRDefault="00D01BBF" w:rsidP="00D01BBF">
      <w:pPr>
        <w:pStyle w:val="Ttulo1"/>
      </w:pPr>
      <w:bookmarkStart w:id="7" w:name="_Toc462295631"/>
      <w:r>
        <w:t xml:space="preserve">Plataformas S3 y su sinergia con </w:t>
      </w:r>
      <w:proofErr w:type="spellStart"/>
      <w:r>
        <w:t>Vanguard</w:t>
      </w:r>
      <w:proofErr w:type="spellEnd"/>
      <w:r>
        <w:t xml:space="preserve"> </w:t>
      </w:r>
      <w:proofErr w:type="spellStart"/>
      <w:r>
        <w:t>Initiative</w:t>
      </w:r>
      <w:proofErr w:type="spellEnd"/>
      <w:r w:rsidR="00AB43A5">
        <w:rPr>
          <w:rStyle w:val="Refdenotaalpie"/>
        </w:rPr>
        <w:footnoteReference w:id="5"/>
      </w:r>
      <w:bookmarkEnd w:id="7"/>
    </w:p>
    <w:p w:rsidR="00D01BBF" w:rsidRDefault="00D01BBF" w:rsidP="00D01BBF">
      <w:pPr>
        <w:spacing w:after="0" w:line="240" w:lineRule="auto"/>
        <w:jc w:val="both"/>
        <w:rPr>
          <w:bCs/>
        </w:rPr>
      </w:pPr>
    </w:p>
    <w:p w:rsidR="00D01BBF" w:rsidRPr="00D01BBF" w:rsidRDefault="00D01BBF" w:rsidP="00D01BBF">
      <w:pPr>
        <w:spacing w:after="0" w:line="240" w:lineRule="auto"/>
        <w:jc w:val="both"/>
        <w:rPr>
          <w:bCs/>
        </w:rPr>
      </w:pPr>
    </w:p>
    <w:p w:rsidR="00D01BBF" w:rsidRDefault="00D01BBF" w:rsidP="00D01BBF">
      <w:pPr>
        <w:spacing w:after="0" w:line="240" w:lineRule="auto"/>
        <w:jc w:val="both"/>
      </w:pPr>
      <w:r>
        <w:t xml:space="preserve">No hay que analizar mucho para darse cuenta que la metodología que siguen es una copia flagrante a la que ha seguido </w:t>
      </w:r>
      <w:proofErr w:type="spellStart"/>
      <w:r>
        <w:t>Vanguard</w:t>
      </w:r>
      <w:proofErr w:type="spellEnd"/>
      <w:r>
        <w:t xml:space="preserve"> desde su creación. </w:t>
      </w:r>
    </w:p>
    <w:p w:rsidR="00D01BBF" w:rsidRDefault="00D01BBF" w:rsidP="00D01BBF">
      <w:pPr>
        <w:spacing w:after="0" w:line="240" w:lineRule="auto"/>
        <w:jc w:val="both"/>
      </w:pPr>
    </w:p>
    <w:p w:rsidR="00D01BBF" w:rsidRPr="00D01BBF" w:rsidRDefault="00D01BBF" w:rsidP="00D01BBF">
      <w:pPr>
        <w:spacing w:after="0" w:line="240" w:lineRule="auto"/>
        <w:jc w:val="both"/>
      </w:pPr>
      <w:r>
        <w:t>La primera conclusión clara es que la Comisión Europea está reconociendo</w:t>
      </w:r>
      <w:r w:rsidR="00AB43A5">
        <w:t xml:space="preserve">, </w:t>
      </w:r>
      <w:r>
        <w:t xml:space="preserve">utilizando </w:t>
      </w:r>
      <w:r w:rsidR="00AB43A5">
        <w:t xml:space="preserve">y asumiendo </w:t>
      </w:r>
      <w:r>
        <w:t xml:space="preserve">la metodología </w:t>
      </w:r>
      <w:proofErr w:type="spellStart"/>
      <w:r>
        <w:t>V</w:t>
      </w:r>
      <w:r w:rsidR="00AB43A5">
        <w:t>anguard</w:t>
      </w:r>
      <w:proofErr w:type="spellEnd"/>
      <w:r w:rsidR="00AB43A5">
        <w:t xml:space="preserve"> </w:t>
      </w:r>
      <w:proofErr w:type="spellStart"/>
      <w:r w:rsidR="00AB43A5">
        <w:t>Initiative</w:t>
      </w:r>
      <w:proofErr w:type="spellEnd"/>
      <w:r w:rsidR="00AB43A5">
        <w:t xml:space="preserve">. La presencia en esta Red se presenta como fundamental. </w:t>
      </w:r>
    </w:p>
    <w:p w:rsidR="00D01BBF" w:rsidRPr="00D01BBF" w:rsidRDefault="00D01BBF" w:rsidP="00D01BBF">
      <w:pPr>
        <w:spacing w:after="0" w:line="240" w:lineRule="auto"/>
        <w:jc w:val="both"/>
      </w:pPr>
    </w:p>
    <w:p w:rsidR="00D01BBF" w:rsidRPr="00D01BBF" w:rsidRDefault="00D01BBF" w:rsidP="00D01BBF">
      <w:pPr>
        <w:spacing w:after="0" w:line="240" w:lineRule="auto"/>
        <w:jc w:val="both"/>
      </w:pPr>
    </w:p>
    <w:p w:rsidR="00D01BBF" w:rsidRPr="00D01BBF" w:rsidRDefault="00D01BBF" w:rsidP="00D01BBF">
      <w:pPr>
        <w:spacing w:after="0" w:line="240" w:lineRule="auto"/>
      </w:pPr>
    </w:p>
    <w:p w:rsidR="00D01BBF" w:rsidRPr="00D01BBF" w:rsidRDefault="00D01BBF" w:rsidP="00D01BBF">
      <w:pPr>
        <w:spacing w:after="0" w:line="240" w:lineRule="auto"/>
      </w:pPr>
    </w:p>
    <w:sectPr w:rsidR="00D01BBF" w:rsidRPr="00D01B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7E2" w:rsidRDefault="00E057E2" w:rsidP="00EC3F6A">
      <w:pPr>
        <w:spacing w:after="0" w:line="240" w:lineRule="auto"/>
      </w:pPr>
      <w:r>
        <w:separator/>
      </w:r>
    </w:p>
  </w:endnote>
  <w:endnote w:type="continuationSeparator" w:id="0">
    <w:p w:rsidR="00E057E2" w:rsidRDefault="00E057E2" w:rsidP="00EC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AA" w:rsidRDefault="000919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439520"/>
      <w:docPartObj>
        <w:docPartGallery w:val="Page Numbers (Bottom of Page)"/>
        <w:docPartUnique/>
      </w:docPartObj>
    </w:sdtPr>
    <w:sdtEndPr/>
    <w:sdtContent>
      <w:p w:rsidR="000919AA" w:rsidRDefault="000919A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3A5">
          <w:rPr>
            <w:noProof/>
          </w:rPr>
          <w:t>1</w:t>
        </w:r>
        <w:r>
          <w:fldChar w:fldCharType="end"/>
        </w:r>
      </w:p>
    </w:sdtContent>
  </w:sdt>
  <w:p w:rsidR="002676BA" w:rsidRPr="002676BA" w:rsidRDefault="002676BA">
    <w:pPr>
      <w:pStyle w:val="Piedepgina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AA" w:rsidRDefault="000919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7E2" w:rsidRDefault="00E057E2" w:rsidP="00EC3F6A">
      <w:pPr>
        <w:spacing w:after="0" w:line="240" w:lineRule="auto"/>
      </w:pPr>
      <w:r>
        <w:separator/>
      </w:r>
    </w:p>
  </w:footnote>
  <w:footnote w:type="continuationSeparator" w:id="0">
    <w:p w:rsidR="00E057E2" w:rsidRDefault="00E057E2" w:rsidP="00EC3F6A">
      <w:pPr>
        <w:spacing w:after="0" w:line="240" w:lineRule="auto"/>
      </w:pPr>
      <w:r>
        <w:continuationSeparator/>
      </w:r>
    </w:p>
  </w:footnote>
  <w:footnote w:id="1">
    <w:p w:rsidR="00EA175C" w:rsidRPr="00EA175C" w:rsidRDefault="00EA175C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64632B">
          <w:rPr>
            <w:rStyle w:val="Hipervnculo"/>
          </w:rPr>
          <w:t>http://s3platform.jrc.ec.europa.eu/s3-themes</w:t>
        </w:r>
      </w:hyperlink>
      <w:r>
        <w:t xml:space="preserve"> </w:t>
      </w:r>
    </w:p>
  </w:footnote>
  <w:footnote w:id="2">
    <w:p w:rsidR="00EA175C" w:rsidRDefault="00EA175C" w:rsidP="00EA175C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t>Fondo Europeo de Desarrollo Regional (FEDER)</w:t>
      </w:r>
      <w:r>
        <w:t xml:space="preserve">; </w:t>
      </w:r>
      <w:r>
        <w:t>Fondo Social Europeo (FSE)</w:t>
      </w:r>
      <w:r>
        <w:t xml:space="preserve">; </w:t>
      </w:r>
      <w:r>
        <w:t>Fondo de Cohesión</w:t>
      </w:r>
    </w:p>
    <w:p w:rsidR="00EA175C" w:rsidRPr="00EA175C" w:rsidRDefault="00EA175C" w:rsidP="00EA175C">
      <w:pPr>
        <w:pStyle w:val="Textonotapie"/>
        <w:jc w:val="both"/>
      </w:pPr>
      <w:r>
        <w:t>Fondo Europeo Agrícola de Desarrollo Rural (FEADER)</w:t>
      </w:r>
      <w:r>
        <w:t xml:space="preserve">; </w:t>
      </w:r>
      <w:r>
        <w:t>Fondo Europeo Marítimo y de Pesca (FEMP)</w:t>
      </w:r>
      <w:r>
        <w:t>, Iniciativa de Empleo Juvenil ((YEI)</w:t>
      </w:r>
      <w:r>
        <w:t>.</w:t>
      </w:r>
      <w:r>
        <w:t xml:space="preserve"> Ver </w:t>
      </w:r>
      <w:hyperlink r:id="rId2" w:history="1">
        <w:r w:rsidRPr="0064632B">
          <w:rPr>
            <w:rStyle w:val="Hipervnculo"/>
          </w:rPr>
          <w:t>https://cohesiondata.ec.europa.eu/funds</w:t>
        </w:r>
      </w:hyperlink>
      <w:r>
        <w:t xml:space="preserve"> </w:t>
      </w:r>
    </w:p>
  </w:footnote>
  <w:footnote w:id="3">
    <w:p w:rsidR="000F6F50" w:rsidRPr="000F6F50" w:rsidRDefault="000F6F50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3" w:history="1">
        <w:r w:rsidRPr="0064632B">
          <w:rPr>
            <w:rStyle w:val="Hipervnculo"/>
          </w:rPr>
          <w:t>http://s3platform.jrc.ec.europa.eu/agri-food</w:t>
        </w:r>
      </w:hyperlink>
      <w:r>
        <w:t xml:space="preserve"> </w:t>
      </w:r>
    </w:p>
  </w:footnote>
  <w:footnote w:id="4">
    <w:p w:rsidR="000F6F50" w:rsidRPr="000F6F50" w:rsidRDefault="000F6F50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4" w:history="1">
        <w:r w:rsidRPr="0064632B">
          <w:rPr>
            <w:rStyle w:val="Hipervnculo"/>
          </w:rPr>
          <w:t>http://s3platform.jrc.ec.europa.eu/industrial-modernisation</w:t>
        </w:r>
      </w:hyperlink>
      <w:r>
        <w:t xml:space="preserve"> </w:t>
      </w:r>
    </w:p>
  </w:footnote>
  <w:footnote w:id="5">
    <w:p w:rsidR="00AB43A5" w:rsidRPr="00AB43A5" w:rsidRDefault="00AB43A5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hyperlink r:id="rId5" w:history="1">
        <w:r w:rsidRPr="0064632B">
          <w:rPr>
            <w:rStyle w:val="Hipervnculo"/>
          </w:rPr>
          <w:t>http://www.s3vanguardinitiative.eu/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AA" w:rsidRDefault="000919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6A" w:rsidRPr="004E20C4" w:rsidRDefault="00EC3F6A" w:rsidP="00EC3F6A">
    <w:pPr>
      <w:pStyle w:val="Encabezado"/>
      <w:rPr>
        <w:b/>
        <w:i/>
        <w:sz w:val="16"/>
        <w:szCs w:val="16"/>
      </w:rPr>
    </w:pPr>
    <w:r w:rsidRPr="004E20C4">
      <w:rPr>
        <w:b/>
        <w:i/>
        <w:sz w:val="16"/>
        <w:szCs w:val="16"/>
      </w:rPr>
      <w:t xml:space="preserve">Ficha resumen – </w:t>
    </w:r>
    <w:proofErr w:type="spellStart"/>
    <w:r w:rsidRPr="004E20C4">
      <w:rPr>
        <w:b/>
        <w:i/>
        <w:sz w:val="16"/>
        <w:szCs w:val="16"/>
      </w:rPr>
      <w:t>laburpena</w:t>
    </w:r>
    <w:proofErr w:type="spellEnd"/>
  </w:p>
  <w:p w:rsidR="00EC3F6A" w:rsidRDefault="00EC3F6A" w:rsidP="00EC3F6A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AA" w:rsidRDefault="000919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45128"/>
    <w:multiLevelType w:val="hybridMultilevel"/>
    <w:tmpl w:val="56149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D1357"/>
    <w:multiLevelType w:val="hybridMultilevel"/>
    <w:tmpl w:val="4FFE4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C6628"/>
    <w:multiLevelType w:val="hybridMultilevel"/>
    <w:tmpl w:val="B24A3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352A9"/>
    <w:multiLevelType w:val="hybridMultilevel"/>
    <w:tmpl w:val="C30EA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57BF3"/>
    <w:multiLevelType w:val="hybridMultilevel"/>
    <w:tmpl w:val="DC0C4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A7E4A"/>
    <w:multiLevelType w:val="hybridMultilevel"/>
    <w:tmpl w:val="758ACC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A4CB0"/>
    <w:multiLevelType w:val="hybridMultilevel"/>
    <w:tmpl w:val="78D4E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38112B"/>
    <w:multiLevelType w:val="hybridMultilevel"/>
    <w:tmpl w:val="951E05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25"/>
    <w:rsid w:val="000128F7"/>
    <w:rsid w:val="000359F0"/>
    <w:rsid w:val="0004373B"/>
    <w:rsid w:val="000919AA"/>
    <w:rsid w:val="000A2814"/>
    <w:rsid w:val="000B4CE4"/>
    <w:rsid w:val="000B5D76"/>
    <w:rsid w:val="000B7EA8"/>
    <w:rsid w:val="000C21FA"/>
    <w:rsid w:val="000E06FA"/>
    <w:rsid w:val="000F6F50"/>
    <w:rsid w:val="001055F6"/>
    <w:rsid w:val="0011352C"/>
    <w:rsid w:val="00121C52"/>
    <w:rsid w:val="00124AF1"/>
    <w:rsid w:val="001535E7"/>
    <w:rsid w:val="001579A1"/>
    <w:rsid w:val="0016233B"/>
    <w:rsid w:val="00181A28"/>
    <w:rsid w:val="0018553A"/>
    <w:rsid w:val="00193C6D"/>
    <w:rsid w:val="001A1423"/>
    <w:rsid w:val="001A58CD"/>
    <w:rsid w:val="001B1DB2"/>
    <w:rsid w:val="001C4889"/>
    <w:rsid w:val="001C5D6F"/>
    <w:rsid w:val="001D4CFD"/>
    <w:rsid w:val="002676BA"/>
    <w:rsid w:val="00283437"/>
    <w:rsid w:val="00283957"/>
    <w:rsid w:val="00284A4D"/>
    <w:rsid w:val="00290033"/>
    <w:rsid w:val="002A0399"/>
    <w:rsid w:val="002C2F55"/>
    <w:rsid w:val="002D1C0D"/>
    <w:rsid w:val="002D3997"/>
    <w:rsid w:val="002D3B1E"/>
    <w:rsid w:val="003031F6"/>
    <w:rsid w:val="00314E23"/>
    <w:rsid w:val="00330E51"/>
    <w:rsid w:val="00337539"/>
    <w:rsid w:val="00376A6C"/>
    <w:rsid w:val="00402D5D"/>
    <w:rsid w:val="00404CD3"/>
    <w:rsid w:val="00407FED"/>
    <w:rsid w:val="00416628"/>
    <w:rsid w:val="00425355"/>
    <w:rsid w:val="004270E4"/>
    <w:rsid w:val="0045545B"/>
    <w:rsid w:val="00466201"/>
    <w:rsid w:val="00470CF9"/>
    <w:rsid w:val="00480B9F"/>
    <w:rsid w:val="0049379C"/>
    <w:rsid w:val="004F28DC"/>
    <w:rsid w:val="0050377E"/>
    <w:rsid w:val="0058274D"/>
    <w:rsid w:val="005A1C25"/>
    <w:rsid w:val="005A6201"/>
    <w:rsid w:val="005D5067"/>
    <w:rsid w:val="005F052C"/>
    <w:rsid w:val="00637B20"/>
    <w:rsid w:val="00660D48"/>
    <w:rsid w:val="00663557"/>
    <w:rsid w:val="0067066B"/>
    <w:rsid w:val="00676DCB"/>
    <w:rsid w:val="00682D77"/>
    <w:rsid w:val="006C60B7"/>
    <w:rsid w:val="00703E16"/>
    <w:rsid w:val="00737261"/>
    <w:rsid w:val="007607DC"/>
    <w:rsid w:val="00776958"/>
    <w:rsid w:val="007801CE"/>
    <w:rsid w:val="00785073"/>
    <w:rsid w:val="007E44E0"/>
    <w:rsid w:val="007F47ED"/>
    <w:rsid w:val="007F6EA7"/>
    <w:rsid w:val="0080529D"/>
    <w:rsid w:val="00841612"/>
    <w:rsid w:val="00854358"/>
    <w:rsid w:val="00860820"/>
    <w:rsid w:val="00880825"/>
    <w:rsid w:val="008957CE"/>
    <w:rsid w:val="008B6763"/>
    <w:rsid w:val="008F69DC"/>
    <w:rsid w:val="00911207"/>
    <w:rsid w:val="009171F7"/>
    <w:rsid w:val="009264A1"/>
    <w:rsid w:val="0093494F"/>
    <w:rsid w:val="00964925"/>
    <w:rsid w:val="009817B6"/>
    <w:rsid w:val="009B2673"/>
    <w:rsid w:val="009C425B"/>
    <w:rsid w:val="009E176A"/>
    <w:rsid w:val="009F7700"/>
    <w:rsid w:val="00A134EC"/>
    <w:rsid w:val="00A15E21"/>
    <w:rsid w:val="00A43F71"/>
    <w:rsid w:val="00A53273"/>
    <w:rsid w:val="00AA4C15"/>
    <w:rsid w:val="00AB43A5"/>
    <w:rsid w:val="00AC18A3"/>
    <w:rsid w:val="00AF1A16"/>
    <w:rsid w:val="00B230A8"/>
    <w:rsid w:val="00B23B0F"/>
    <w:rsid w:val="00B33FFD"/>
    <w:rsid w:val="00B44859"/>
    <w:rsid w:val="00B66A3F"/>
    <w:rsid w:val="00B87AFC"/>
    <w:rsid w:val="00BA7E32"/>
    <w:rsid w:val="00C21D69"/>
    <w:rsid w:val="00C45F47"/>
    <w:rsid w:val="00C725DC"/>
    <w:rsid w:val="00C82539"/>
    <w:rsid w:val="00CA49C4"/>
    <w:rsid w:val="00CC3760"/>
    <w:rsid w:val="00CC652E"/>
    <w:rsid w:val="00D01BBF"/>
    <w:rsid w:val="00D433F5"/>
    <w:rsid w:val="00D451A6"/>
    <w:rsid w:val="00D92764"/>
    <w:rsid w:val="00DA54BC"/>
    <w:rsid w:val="00DD19CA"/>
    <w:rsid w:val="00DD58F2"/>
    <w:rsid w:val="00DE195E"/>
    <w:rsid w:val="00DE4B31"/>
    <w:rsid w:val="00E057E2"/>
    <w:rsid w:val="00E25785"/>
    <w:rsid w:val="00E72113"/>
    <w:rsid w:val="00E74696"/>
    <w:rsid w:val="00E9060D"/>
    <w:rsid w:val="00E90771"/>
    <w:rsid w:val="00E94220"/>
    <w:rsid w:val="00EA175C"/>
    <w:rsid w:val="00EC3F6A"/>
    <w:rsid w:val="00EC561B"/>
    <w:rsid w:val="00EC7A2D"/>
    <w:rsid w:val="00EE509C"/>
    <w:rsid w:val="00F15BED"/>
    <w:rsid w:val="00F176FE"/>
    <w:rsid w:val="00F21A3B"/>
    <w:rsid w:val="00F33816"/>
    <w:rsid w:val="00F41063"/>
    <w:rsid w:val="00F45648"/>
    <w:rsid w:val="00F54238"/>
    <w:rsid w:val="00F5686A"/>
    <w:rsid w:val="00FA42C6"/>
    <w:rsid w:val="00FC2082"/>
    <w:rsid w:val="00FE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3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919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3B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19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3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F6A"/>
  </w:style>
  <w:style w:type="paragraph" w:styleId="Piedepgina">
    <w:name w:val="footer"/>
    <w:basedOn w:val="Normal"/>
    <w:link w:val="PiedepginaCar"/>
    <w:uiPriority w:val="99"/>
    <w:unhideWhenUsed/>
    <w:rsid w:val="00EC3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F6A"/>
  </w:style>
  <w:style w:type="table" w:styleId="Tablaconcuadrcula">
    <w:name w:val="Table Grid"/>
    <w:basedOn w:val="Tablanormal"/>
    <w:uiPriority w:val="39"/>
    <w:rsid w:val="00EC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DA54B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A54B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54B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C18A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31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99"/>
    <w:qFormat/>
    <w:rsid w:val="003031F6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u-ES"/>
    </w:rPr>
  </w:style>
  <w:style w:type="paragraph" w:styleId="TDC1">
    <w:name w:val="toc 1"/>
    <w:basedOn w:val="Normal"/>
    <w:next w:val="Normal"/>
    <w:autoRedefine/>
    <w:uiPriority w:val="39"/>
    <w:rsid w:val="003031F6"/>
    <w:pPr>
      <w:tabs>
        <w:tab w:val="right" w:leader="dot" w:pos="8497"/>
      </w:tabs>
      <w:spacing w:before="120" w:after="120" w:line="240" w:lineRule="auto"/>
    </w:pPr>
    <w:rPr>
      <w:rFonts w:ascii="Calibri" w:eastAsia="Times New Roman" w:hAnsi="Calibri" w:cs="Times New Roman"/>
      <w:b/>
      <w:bCs/>
      <w:caps/>
      <w:noProof/>
      <w:sz w:val="20"/>
      <w:szCs w:val="24"/>
      <w:lang w:val="eu-ES" w:eastAsia="eu-ES"/>
    </w:rPr>
  </w:style>
  <w:style w:type="paragraph" w:styleId="TDC2">
    <w:name w:val="toc 2"/>
    <w:basedOn w:val="Normal"/>
    <w:next w:val="Normal"/>
    <w:autoRedefine/>
    <w:uiPriority w:val="39"/>
    <w:rsid w:val="003031F6"/>
    <w:pPr>
      <w:spacing w:after="100" w:line="240" w:lineRule="auto"/>
      <w:ind w:left="240"/>
    </w:pPr>
    <w:rPr>
      <w:rFonts w:ascii="Calibri" w:eastAsia="Calibri" w:hAnsi="Calibri" w:cs="Times New Roman"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00919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D01BBF"/>
    <w:rPr>
      <w:b/>
      <w:bCs/>
    </w:rPr>
  </w:style>
  <w:style w:type="character" w:customStyle="1" w:styleId="apple-converted-space">
    <w:name w:val="apple-converted-space"/>
    <w:basedOn w:val="Fuentedeprrafopredeter"/>
    <w:rsid w:val="00D01BBF"/>
  </w:style>
  <w:style w:type="paragraph" w:styleId="NormalWeb">
    <w:name w:val="Normal (Web)"/>
    <w:basedOn w:val="Normal"/>
    <w:uiPriority w:val="99"/>
    <w:unhideWhenUsed/>
    <w:rsid w:val="00D0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3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919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3B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19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3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F6A"/>
  </w:style>
  <w:style w:type="paragraph" w:styleId="Piedepgina">
    <w:name w:val="footer"/>
    <w:basedOn w:val="Normal"/>
    <w:link w:val="PiedepginaCar"/>
    <w:uiPriority w:val="99"/>
    <w:unhideWhenUsed/>
    <w:rsid w:val="00EC3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F6A"/>
  </w:style>
  <w:style w:type="table" w:styleId="Tablaconcuadrcula">
    <w:name w:val="Table Grid"/>
    <w:basedOn w:val="Tablanormal"/>
    <w:uiPriority w:val="39"/>
    <w:rsid w:val="00EC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DA54B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A54B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54B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C18A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31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99"/>
    <w:qFormat/>
    <w:rsid w:val="003031F6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u-ES"/>
    </w:rPr>
  </w:style>
  <w:style w:type="paragraph" w:styleId="TDC1">
    <w:name w:val="toc 1"/>
    <w:basedOn w:val="Normal"/>
    <w:next w:val="Normal"/>
    <w:autoRedefine/>
    <w:uiPriority w:val="39"/>
    <w:rsid w:val="003031F6"/>
    <w:pPr>
      <w:tabs>
        <w:tab w:val="right" w:leader="dot" w:pos="8497"/>
      </w:tabs>
      <w:spacing w:before="120" w:after="120" w:line="240" w:lineRule="auto"/>
    </w:pPr>
    <w:rPr>
      <w:rFonts w:ascii="Calibri" w:eastAsia="Times New Roman" w:hAnsi="Calibri" w:cs="Times New Roman"/>
      <w:b/>
      <w:bCs/>
      <w:caps/>
      <w:noProof/>
      <w:sz w:val="20"/>
      <w:szCs w:val="24"/>
      <w:lang w:val="eu-ES" w:eastAsia="eu-ES"/>
    </w:rPr>
  </w:style>
  <w:style w:type="paragraph" w:styleId="TDC2">
    <w:name w:val="toc 2"/>
    <w:basedOn w:val="Normal"/>
    <w:next w:val="Normal"/>
    <w:autoRedefine/>
    <w:uiPriority w:val="39"/>
    <w:rsid w:val="003031F6"/>
    <w:pPr>
      <w:spacing w:after="100" w:line="240" w:lineRule="auto"/>
      <w:ind w:left="240"/>
    </w:pPr>
    <w:rPr>
      <w:rFonts w:ascii="Calibri" w:eastAsia="Calibri" w:hAnsi="Calibri" w:cs="Times New Roman"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00919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D01BBF"/>
    <w:rPr>
      <w:b/>
      <w:bCs/>
    </w:rPr>
  </w:style>
  <w:style w:type="character" w:customStyle="1" w:styleId="apple-converted-space">
    <w:name w:val="apple-converted-space"/>
    <w:basedOn w:val="Fuentedeprrafopredeter"/>
    <w:rsid w:val="00D01BBF"/>
  </w:style>
  <w:style w:type="paragraph" w:styleId="NormalWeb">
    <w:name w:val="Normal (Web)"/>
    <w:basedOn w:val="Normal"/>
    <w:uiPriority w:val="99"/>
    <w:unhideWhenUsed/>
    <w:rsid w:val="00D0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1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.europa.eu/eusurvey/runner/S3thematicplatform_expression_of_interes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s3platform.jrc.ec.europa.eu/wind-energy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s3platform.jrc.ec.europa.eu/-/kick-off-event-of-the-smart-specialisation-platform-on-industrial-modernisation?inheritRedirect=true&amp;redirect=%2Findustrial-modernisation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s3platform.jrc.ec.europa.eu/agri-food" TargetMode="External"/><Relationship Id="rId2" Type="http://schemas.openxmlformats.org/officeDocument/2006/relationships/hyperlink" Target="https://cohesiondata.ec.europa.eu/funds" TargetMode="External"/><Relationship Id="rId1" Type="http://schemas.openxmlformats.org/officeDocument/2006/relationships/hyperlink" Target="http://s3platform.jrc.ec.europa.eu/s3-themes" TargetMode="External"/><Relationship Id="rId5" Type="http://schemas.openxmlformats.org/officeDocument/2006/relationships/hyperlink" Target="http://www.s3vanguardinitiative.eu/" TargetMode="External"/><Relationship Id="rId4" Type="http://schemas.openxmlformats.org/officeDocument/2006/relationships/hyperlink" Target="http://s3platform.jrc.ec.europa.eu/industrial-modernisat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9990-10BB-4B9C-B66D-2323B9A2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1545</Words>
  <Characters>8498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IRUJO AMEZAGA, Mikel</dc:creator>
  <cp:lastModifiedBy>Irujo Amezaga, Mikel (Delegado del GN en Bruselas)</cp:lastModifiedBy>
  <cp:revision>4</cp:revision>
  <dcterms:created xsi:type="dcterms:W3CDTF">2016-09-22T05:14:00Z</dcterms:created>
  <dcterms:modified xsi:type="dcterms:W3CDTF">2016-09-22T06:18:00Z</dcterms:modified>
</cp:coreProperties>
</file>