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F74" w:rsidRPr="00F72871" w:rsidRDefault="004F4F74" w:rsidP="00E77756">
      <w:pPr>
        <w:spacing w:after="0" w:line="240" w:lineRule="auto"/>
        <w:jc w:val="both"/>
        <w:rPr>
          <w:rFonts w:ascii="Times New Roman" w:hAnsi="Times New Roman" w:cs="Times New Roman"/>
          <w:sz w:val="24"/>
          <w:szCs w:val="24"/>
        </w:rPr>
      </w:pPr>
    </w:p>
    <w:p w:rsidR="00B72B8B" w:rsidRDefault="00B72B8B" w:rsidP="00D2270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Red </w:t>
      </w:r>
      <w:proofErr w:type="spellStart"/>
      <w:r>
        <w:rPr>
          <w:rFonts w:ascii="Times New Roman" w:hAnsi="Times New Roman" w:cs="Times New Roman"/>
          <w:b/>
          <w:sz w:val="24"/>
          <w:szCs w:val="24"/>
        </w:rPr>
        <w:t>Transeuropea</w:t>
      </w:r>
      <w:proofErr w:type="spellEnd"/>
      <w:r>
        <w:rPr>
          <w:rFonts w:ascii="Times New Roman" w:hAnsi="Times New Roman" w:cs="Times New Roman"/>
          <w:b/>
          <w:sz w:val="24"/>
          <w:szCs w:val="24"/>
        </w:rPr>
        <w:t xml:space="preserve"> de T</w:t>
      </w:r>
      <w:r w:rsidRPr="00E77756">
        <w:rPr>
          <w:rFonts w:ascii="Times New Roman" w:hAnsi="Times New Roman" w:cs="Times New Roman"/>
          <w:b/>
          <w:sz w:val="24"/>
          <w:szCs w:val="24"/>
        </w:rPr>
        <w:t>ransporte (</w:t>
      </w:r>
      <w:r>
        <w:rPr>
          <w:rFonts w:ascii="Times New Roman" w:hAnsi="Times New Roman" w:cs="Times New Roman"/>
          <w:b/>
          <w:sz w:val="24"/>
          <w:szCs w:val="24"/>
        </w:rPr>
        <w:t xml:space="preserve">en adelante, </w:t>
      </w:r>
      <w:r w:rsidRPr="00E77756">
        <w:rPr>
          <w:rFonts w:ascii="Times New Roman" w:hAnsi="Times New Roman" w:cs="Times New Roman"/>
          <w:b/>
          <w:sz w:val="24"/>
          <w:szCs w:val="24"/>
        </w:rPr>
        <w:t>RTE-T</w:t>
      </w:r>
      <w:r>
        <w:rPr>
          <w:rFonts w:ascii="Times New Roman" w:hAnsi="Times New Roman" w:cs="Times New Roman"/>
          <w:b/>
          <w:sz w:val="24"/>
          <w:szCs w:val="24"/>
        </w:rPr>
        <w:t>)</w:t>
      </w:r>
    </w:p>
    <w:p w:rsidR="00B72B8B" w:rsidRDefault="00B72B8B" w:rsidP="00E77756">
      <w:pPr>
        <w:spacing w:after="0" w:line="240" w:lineRule="auto"/>
        <w:jc w:val="both"/>
        <w:rPr>
          <w:rFonts w:ascii="Times New Roman" w:hAnsi="Times New Roman" w:cs="Times New Roman"/>
          <w:sz w:val="24"/>
          <w:szCs w:val="24"/>
        </w:rPr>
      </w:pPr>
    </w:p>
    <w:p w:rsidR="00D2270B" w:rsidRDefault="00D2270B" w:rsidP="00E77756">
      <w:pPr>
        <w:spacing w:after="0" w:line="240" w:lineRule="auto"/>
        <w:jc w:val="both"/>
        <w:rPr>
          <w:rFonts w:ascii="Times New Roman" w:hAnsi="Times New Roman" w:cs="Times New Roman"/>
          <w:sz w:val="24"/>
          <w:szCs w:val="24"/>
        </w:rPr>
      </w:pPr>
    </w:p>
    <w:p w:rsidR="00D2270B" w:rsidRDefault="00D2270B" w:rsidP="00E77756">
      <w:pPr>
        <w:spacing w:after="0" w:line="240" w:lineRule="auto"/>
        <w:jc w:val="both"/>
        <w:rPr>
          <w:rFonts w:ascii="Times New Roman" w:hAnsi="Times New Roman" w:cs="Times New Roman"/>
          <w:sz w:val="24"/>
          <w:szCs w:val="24"/>
        </w:rPr>
      </w:pPr>
    </w:p>
    <w:p w:rsidR="00D2270B" w:rsidRPr="00CE13CE" w:rsidRDefault="00D2270B" w:rsidP="00D2270B">
      <w:pPr>
        <w:pStyle w:val="TtuloTDC"/>
        <w:spacing w:before="0" w:line="240" w:lineRule="auto"/>
        <w:rPr>
          <w:rFonts w:ascii="Times New Roman" w:hAnsi="Times New Roman"/>
          <w:sz w:val="24"/>
          <w:szCs w:val="24"/>
          <w:lang w:val="es-ES"/>
        </w:rPr>
      </w:pPr>
      <w:r w:rsidRPr="00CE13CE">
        <w:rPr>
          <w:rFonts w:ascii="Times New Roman" w:hAnsi="Times New Roman"/>
          <w:sz w:val="24"/>
          <w:szCs w:val="24"/>
          <w:lang w:val="es-ES"/>
        </w:rPr>
        <w:t>Contenido</w:t>
      </w:r>
    </w:p>
    <w:p w:rsidR="00D2270B" w:rsidRPr="00CE13CE" w:rsidRDefault="00D2270B" w:rsidP="00D2270B">
      <w:pPr>
        <w:pStyle w:val="TDC1"/>
        <w:spacing w:before="0" w:after="0"/>
        <w:rPr>
          <w:rFonts w:ascii="Times New Roman" w:hAnsi="Times New Roman"/>
          <w:sz w:val="24"/>
          <w:lang w:val="es-ES" w:eastAsia="es-ES"/>
        </w:rPr>
      </w:pPr>
    </w:p>
    <w:p w:rsidR="00D2270B" w:rsidRDefault="00D2270B">
      <w:pPr>
        <w:pStyle w:val="TDC1"/>
        <w:rPr>
          <w:rFonts w:asciiTheme="minorHAnsi" w:eastAsiaTheme="minorEastAsia" w:hAnsiTheme="minorHAnsi" w:cstheme="minorBidi"/>
          <w:b w:val="0"/>
          <w:bCs w:val="0"/>
          <w:caps w:val="0"/>
          <w:sz w:val="22"/>
          <w:szCs w:val="22"/>
          <w:lang w:val="es-ES" w:eastAsia="es-ES"/>
        </w:rPr>
      </w:pPr>
      <w:r w:rsidRPr="00CE13CE">
        <w:rPr>
          <w:rFonts w:ascii="Times New Roman" w:hAnsi="Times New Roman"/>
          <w:sz w:val="24"/>
          <w:lang w:val="es-ES" w:eastAsia="es-ES"/>
        </w:rPr>
        <w:fldChar w:fldCharType="begin"/>
      </w:r>
      <w:r w:rsidRPr="00CE13CE">
        <w:rPr>
          <w:rFonts w:ascii="Times New Roman" w:hAnsi="Times New Roman"/>
          <w:sz w:val="24"/>
          <w:lang w:val="es-ES"/>
        </w:rPr>
        <w:instrText xml:space="preserve"> TOC \o "1-3" \h \z \u </w:instrText>
      </w:r>
      <w:r w:rsidRPr="00CE13CE">
        <w:rPr>
          <w:rFonts w:ascii="Times New Roman" w:hAnsi="Times New Roman"/>
          <w:sz w:val="24"/>
          <w:lang w:val="es-ES" w:eastAsia="es-ES"/>
        </w:rPr>
        <w:fldChar w:fldCharType="separate"/>
      </w:r>
      <w:hyperlink w:anchor="_Toc491958752" w:history="1">
        <w:r w:rsidRPr="001D6497">
          <w:rPr>
            <w:rStyle w:val="Hipervnculo"/>
          </w:rPr>
          <w:t>Marco legal</w:t>
        </w:r>
        <w:r>
          <w:rPr>
            <w:webHidden/>
          </w:rPr>
          <w:tab/>
        </w:r>
        <w:r>
          <w:rPr>
            <w:webHidden/>
          </w:rPr>
          <w:fldChar w:fldCharType="begin"/>
        </w:r>
        <w:r>
          <w:rPr>
            <w:webHidden/>
          </w:rPr>
          <w:instrText xml:space="preserve"> PAGEREF _Toc491958752 \h </w:instrText>
        </w:r>
        <w:r>
          <w:rPr>
            <w:webHidden/>
          </w:rPr>
        </w:r>
        <w:r>
          <w:rPr>
            <w:webHidden/>
          </w:rPr>
          <w:fldChar w:fldCharType="separate"/>
        </w:r>
        <w:r>
          <w:rPr>
            <w:webHidden/>
          </w:rPr>
          <w:t>1</w:t>
        </w:r>
        <w:r>
          <w:rPr>
            <w:webHidden/>
          </w:rPr>
          <w:fldChar w:fldCharType="end"/>
        </w:r>
      </w:hyperlink>
    </w:p>
    <w:p w:rsidR="00D2270B" w:rsidRDefault="00D2270B">
      <w:pPr>
        <w:pStyle w:val="TDC1"/>
        <w:rPr>
          <w:rFonts w:asciiTheme="minorHAnsi" w:eastAsiaTheme="minorEastAsia" w:hAnsiTheme="minorHAnsi" w:cstheme="minorBidi"/>
          <w:b w:val="0"/>
          <w:bCs w:val="0"/>
          <w:caps w:val="0"/>
          <w:sz w:val="22"/>
          <w:szCs w:val="22"/>
          <w:lang w:val="es-ES" w:eastAsia="es-ES"/>
        </w:rPr>
      </w:pPr>
      <w:hyperlink w:anchor="_Toc491958753" w:history="1">
        <w:r w:rsidRPr="001D6497">
          <w:rPr>
            <w:rStyle w:val="Hipervnculo"/>
          </w:rPr>
          <w:t>Revisión de la Red Básica</w:t>
        </w:r>
        <w:r>
          <w:rPr>
            <w:webHidden/>
          </w:rPr>
          <w:tab/>
        </w:r>
        <w:r>
          <w:rPr>
            <w:webHidden/>
          </w:rPr>
          <w:fldChar w:fldCharType="begin"/>
        </w:r>
        <w:r>
          <w:rPr>
            <w:webHidden/>
          </w:rPr>
          <w:instrText xml:space="preserve"> PAGEREF _Toc491958753 \h </w:instrText>
        </w:r>
        <w:r>
          <w:rPr>
            <w:webHidden/>
          </w:rPr>
        </w:r>
        <w:r>
          <w:rPr>
            <w:webHidden/>
          </w:rPr>
          <w:fldChar w:fldCharType="separate"/>
        </w:r>
        <w:r>
          <w:rPr>
            <w:webHidden/>
          </w:rPr>
          <w:t>3</w:t>
        </w:r>
        <w:r>
          <w:rPr>
            <w:webHidden/>
          </w:rPr>
          <w:fldChar w:fldCharType="end"/>
        </w:r>
      </w:hyperlink>
    </w:p>
    <w:p w:rsidR="00D2270B" w:rsidRDefault="00D2270B">
      <w:pPr>
        <w:pStyle w:val="TDC1"/>
        <w:rPr>
          <w:rFonts w:asciiTheme="minorHAnsi" w:eastAsiaTheme="minorEastAsia" w:hAnsiTheme="minorHAnsi" w:cstheme="minorBidi"/>
          <w:b w:val="0"/>
          <w:bCs w:val="0"/>
          <w:caps w:val="0"/>
          <w:sz w:val="22"/>
          <w:szCs w:val="22"/>
          <w:lang w:val="es-ES" w:eastAsia="es-ES"/>
        </w:rPr>
      </w:pPr>
      <w:hyperlink w:anchor="_Toc491958754" w:history="1">
        <w:r w:rsidRPr="001D6497">
          <w:rPr>
            <w:rStyle w:val="Hipervnculo"/>
          </w:rPr>
          <w:t>Financiación UE</w:t>
        </w:r>
        <w:r>
          <w:rPr>
            <w:webHidden/>
          </w:rPr>
          <w:tab/>
        </w:r>
        <w:r>
          <w:rPr>
            <w:webHidden/>
          </w:rPr>
          <w:fldChar w:fldCharType="begin"/>
        </w:r>
        <w:r>
          <w:rPr>
            <w:webHidden/>
          </w:rPr>
          <w:instrText xml:space="preserve"> PAGEREF _Toc491958754 \h </w:instrText>
        </w:r>
        <w:r>
          <w:rPr>
            <w:webHidden/>
          </w:rPr>
        </w:r>
        <w:r>
          <w:rPr>
            <w:webHidden/>
          </w:rPr>
          <w:fldChar w:fldCharType="separate"/>
        </w:r>
        <w:r>
          <w:rPr>
            <w:webHidden/>
          </w:rPr>
          <w:t>4</w:t>
        </w:r>
        <w:r>
          <w:rPr>
            <w:webHidden/>
          </w:rPr>
          <w:fldChar w:fldCharType="end"/>
        </w:r>
      </w:hyperlink>
    </w:p>
    <w:p w:rsidR="00D2270B" w:rsidRDefault="00D2270B">
      <w:pPr>
        <w:pStyle w:val="TDC1"/>
        <w:rPr>
          <w:rFonts w:asciiTheme="minorHAnsi" w:eastAsiaTheme="minorEastAsia" w:hAnsiTheme="minorHAnsi" w:cstheme="minorBidi"/>
          <w:b w:val="0"/>
          <w:bCs w:val="0"/>
          <w:caps w:val="0"/>
          <w:sz w:val="22"/>
          <w:szCs w:val="22"/>
          <w:lang w:val="es-ES" w:eastAsia="es-ES"/>
        </w:rPr>
      </w:pPr>
      <w:hyperlink w:anchor="_Toc491958755" w:history="1">
        <w:r w:rsidRPr="001D6497">
          <w:rPr>
            <w:rStyle w:val="Hipervnculo"/>
          </w:rPr>
          <w:t>Links de interés</w:t>
        </w:r>
        <w:r>
          <w:rPr>
            <w:webHidden/>
          </w:rPr>
          <w:tab/>
        </w:r>
        <w:r>
          <w:rPr>
            <w:webHidden/>
          </w:rPr>
          <w:fldChar w:fldCharType="begin"/>
        </w:r>
        <w:r>
          <w:rPr>
            <w:webHidden/>
          </w:rPr>
          <w:instrText xml:space="preserve"> PAGEREF _Toc491958755 \h </w:instrText>
        </w:r>
        <w:r>
          <w:rPr>
            <w:webHidden/>
          </w:rPr>
        </w:r>
        <w:r>
          <w:rPr>
            <w:webHidden/>
          </w:rPr>
          <w:fldChar w:fldCharType="separate"/>
        </w:r>
        <w:r>
          <w:rPr>
            <w:webHidden/>
          </w:rPr>
          <w:t>4</w:t>
        </w:r>
        <w:r>
          <w:rPr>
            <w:webHidden/>
          </w:rPr>
          <w:fldChar w:fldCharType="end"/>
        </w:r>
      </w:hyperlink>
    </w:p>
    <w:p w:rsidR="00B72B8B" w:rsidRDefault="00D2270B" w:rsidP="00D2270B">
      <w:pPr>
        <w:spacing w:after="0" w:line="240" w:lineRule="auto"/>
        <w:jc w:val="both"/>
        <w:rPr>
          <w:rFonts w:ascii="Times New Roman" w:hAnsi="Times New Roman" w:cs="Times New Roman"/>
          <w:sz w:val="24"/>
          <w:szCs w:val="24"/>
        </w:rPr>
      </w:pPr>
      <w:r w:rsidRPr="00CE13CE">
        <w:fldChar w:fldCharType="end"/>
      </w:r>
    </w:p>
    <w:p w:rsidR="0072664A" w:rsidRDefault="0072664A" w:rsidP="00D2270B">
      <w:pPr>
        <w:pStyle w:val="Ttulo1"/>
      </w:pPr>
      <w:bookmarkStart w:id="0" w:name="_Toc491958752"/>
      <w:r>
        <w:t>Marco legal</w:t>
      </w:r>
      <w:bookmarkEnd w:id="0"/>
    </w:p>
    <w:p w:rsidR="0072664A" w:rsidRDefault="0072664A" w:rsidP="00E77756">
      <w:pPr>
        <w:spacing w:after="0" w:line="240" w:lineRule="auto"/>
        <w:jc w:val="both"/>
        <w:rPr>
          <w:rFonts w:ascii="Times New Roman" w:hAnsi="Times New Roman" w:cs="Times New Roman"/>
          <w:sz w:val="24"/>
          <w:szCs w:val="24"/>
        </w:rPr>
      </w:pPr>
    </w:p>
    <w:p w:rsidR="00F72871" w:rsidRDefault="00F72871" w:rsidP="00E77756">
      <w:pPr>
        <w:spacing w:after="0" w:line="240" w:lineRule="auto"/>
        <w:jc w:val="both"/>
        <w:rPr>
          <w:rFonts w:ascii="Times New Roman" w:hAnsi="Times New Roman" w:cs="Times New Roman"/>
          <w:sz w:val="24"/>
          <w:szCs w:val="24"/>
        </w:rPr>
      </w:pPr>
      <w:r w:rsidRPr="00F72871">
        <w:rPr>
          <w:rFonts w:ascii="Times New Roman" w:hAnsi="Times New Roman" w:cs="Times New Roman"/>
          <w:sz w:val="24"/>
          <w:szCs w:val="24"/>
        </w:rPr>
        <w:t xml:space="preserve">La UE ha establecido redes transeuropeas en los ámbitos del transporte, la energía y las telecomunicaciones (RTE) para desarrollar el mercado interior, reforzar la cohesión económica y social y conectar todas las regiones. </w:t>
      </w:r>
      <w:r w:rsidRPr="00B72B8B">
        <w:rPr>
          <w:rFonts w:ascii="Times New Roman" w:hAnsi="Times New Roman" w:cs="Times New Roman"/>
          <w:sz w:val="24"/>
          <w:szCs w:val="24"/>
        </w:rPr>
        <w:t xml:space="preserve">La </w:t>
      </w:r>
      <w:r w:rsidR="00E77756" w:rsidRPr="00B72B8B">
        <w:rPr>
          <w:rFonts w:ascii="Times New Roman" w:hAnsi="Times New Roman" w:cs="Times New Roman"/>
          <w:sz w:val="24"/>
          <w:szCs w:val="24"/>
        </w:rPr>
        <w:t xml:space="preserve">Red </w:t>
      </w:r>
      <w:proofErr w:type="spellStart"/>
      <w:r w:rsidR="00E77756" w:rsidRPr="00B72B8B">
        <w:rPr>
          <w:rFonts w:ascii="Times New Roman" w:hAnsi="Times New Roman" w:cs="Times New Roman"/>
          <w:sz w:val="24"/>
          <w:szCs w:val="24"/>
        </w:rPr>
        <w:t>Transeuropea</w:t>
      </w:r>
      <w:proofErr w:type="spellEnd"/>
      <w:r w:rsidR="00E77756" w:rsidRPr="00B72B8B">
        <w:rPr>
          <w:rFonts w:ascii="Times New Roman" w:hAnsi="Times New Roman" w:cs="Times New Roman"/>
          <w:sz w:val="24"/>
          <w:szCs w:val="24"/>
        </w:rPr>
        <w:t xml:space="preserve"> de T</w:t>
      </w:r>
      <w:r w:rsidRPr="00B72B8B">
        <w:rPr>
          <w:rFonts w:ascii="Times New Roman" w:hAnsi="Times New Roman" w:cs="Times New Roman"/>
          <w:sz w:val="24"/>
          <w:szCs w:val="24"/>
        </w:rPr>
        <w:t>ransporte (</w:t>
      </w:r>
      <w:r w:rsidR="00E77756" w:rsidRPr="00B72B8B">
        <w:rPr>
          <w:rFonts w:ascii="Times New Roman" w:hAnsi="Times New Roman" w:cs="Times New Roman"/>
          <w:sz w:val="24"/>
          <w:szCs w:val="24"/>
        </w:rPr>
        <w:t xml:space="preserve">en adelante, </w:t>
      </w:r>
      <w:r w:rsidRPr="00B72B8B">
        <w:rPr>
          <w:rFonts w:ascii="Times New Roman" w:hAnsi="Times New Roman" w:cs="Times New Roman"/>
          <w:sz w:val="24"/>
          <w:szCs w:val="24"/>
        </w:rPr>
        <w:t>RTE-T</w:t>
      </w:r>
      <w:r w:rsidR="00E77756" w:rsidRPr="00B72B8B">
        <w:rPr>
          <w:rFonts w:ascii="Times New Roman" w:hAnsi="Times New Roman" w:cs="Times New Roman"/>
          <w:sz w:val="24"/>
          <w:szCs w:val="24"/>
        </w:rPr>
        <w:t>)</w:t>
      </w:r>
      <w:r w:rsidRPr="00B72B8B">
        <w:rPr>
          <w:rFonts w:ascii="Times New Roman" w:hAnsi="Times New Roman" w:cs="Times New Roman"/>
          <w:sz w:val="24"/>
          <w:szCs w:val="24"/>
        </w:rPr>
        <w:t>,</w:t>
      </w:r>
      <w:r w:rsidR="00E77756" w:rsidRPr="00B72B8B">
        <w:rPr>
          <w:rFonts w:ascii="Times New Roman" w:hAnsi="Times New Roman" w:cs="Times New Roman"/>
          <w:sz w:val="24"/>
          <w:szCs w:val="24"/>
        </w:rPr>
        <w:t xml:space="preserve"> se </w:t>
      </w:r>
      <w:r w:rsidR="00E77756">
        <w:rPr>
          <w:rFonts w:ascii="Times New Roman" w:hAnsi="Times New Roman" w:cs="Times New Roman"/>
          <w:sz w:val="24"/>
          <w:szCs w:val="24"/>
        </w:rPr>
        <w:t>encuentra en los</w:t>
      </w:r>
      <w:r w:rsidRPr="00F72871">
        <w:rPr>
          <w:rFonts w:ascii="Times New Roman" w:hAnsi="Times New Roman" w:cs="Times New Roman"/>
          <w:sz w:val="24"/>
          <w:szCs w:val="24"/>
        </w:rPr>
        <w:t xml:space="preserve"> artículos 170</w:t>
      </w:r>
      <w:r w:rsidR="00B72B8B">
        <w:rPr>
          <w:rFonts w:ascii="Times New Roman" w:hAnsi="Times New Roman" w:cs="Times New Roman"/>
          <w:sz w:val="24"/>
          <w:szCs w:val="24"/>
        </w:rPr>
        <w:t xml:space="preserve"> a </w:t>
      </w:r>
      <w:r w:rsidRPr="00F72871">
        <w:rPr>
          <w:rFonts w:ascii="Times New Roman" w:hAnsi="Times New Roman" w:cs="Times New Roman"/>
          <w:sz w:val="24"/>
          <w:szCs w:val="24"/>
        </w:rPr>
        <w:t xml:space="preserve">172 </w:t>
      </w:r>
      <w:r w:rsidR="00E77756">
        <w:rPr>
          <w:rFonts w:ascii="Times New Roman" w:hAnsi="Times New Roman" w:cs="Times New Roman"/>
          <w:sz w:val="24"/>
          <w:szCs w:val="24"/>
        </w:rPr>
        <w:t xml:space="preserve">del </w:t>
      </w:r>
      <w:r w:rsidR="00E77756" w:rsidRPr="00B72B8B">
        <w:rPr>
          <w:rFonts w:ascii="Times New Roman" w:hAnsi="Times New Roman" w:cs="Times New Roman"/>
          <w:b/>
          <w:sz w:val="24"/>
          <w:szCs w:val="24"/>
        </w:rPr>
        <w:t>Tratado de Funcionamiento de la UE (TFUE)</w:t>
      </w:r>
      <w:r w:rsidR="00E77756">
        <w:rPr>
          <w:rFonts w:ascii="Times New Roman" w:hAnsi="Times New Roman" w:cs="Times New Roman"/>
          <w:sz w:val="24"/>
          <w:szCs w:val="24"/>
        </w:rPr>
        <w:t xml:space="preserve"> y</w:t>
      </w:r>
      <w:r w:rsidRPr="00F72871">
        <w:rPr>
          <w:rFonts w:ascii="Times New Roman" w:hAnsi="Times New Roman" w:cs="Times New Roman"/>
          <w:sz w:val="24"/>
          <w:szCs w:val="24"/>
        </w:rPr>
        <w:t xml:space="preserve"> tiene por objeto desarrollar una red multimodal integrada que permita a las personas y los bienes desplazarse rápida y fácilmente en toda la UE. Con pronósticos que prevén un aumento del 80% en el transporte de mercancías y un aumento del transporte de pasajeros de más del 50% en 2050, las conexiones y los cuellos de botella que faltan se convierten en un serio obstáculo para los flujos de tráfico. Se espera que la finalización de la red RTE-T genere, hasta 2030, un aumento acumulado del PIB del 1,8% y 10 millones de puestos de trabajo adicionales</w:t>
      </w:r>
      <w:r w:rsidR="0027453B">
        <w:rPr>
          <w:rFonts w:ascii="Times New Roman" w:hAnsi="Times New Roman" w:cs="Times New Roman"/>
          <w:sz w:val="24"/>
          <w:szCs w:val="24"/>
        </w:rPr>
        <w:t>.</w:t>
      </w:r>
    </w:p>
    <w:p w:rsidR="0072664A" w:rsidRDefault="0072664A" w:rsidP="00E77756">
      <w:pPr>
        <w:spacing w:after="0" w:line="240" w:lineRule="auto"/>
        <w:jc w:val="both"/>
        <w:rPr>
          <w:rFonts w:ascii="Times New Roman" w:hAnsi="Times New Roman" w:cs="Times New Roman"/>
          <w:sz w:val="24"/>
          <w:szCs w:val="24"/>
        </w:rPr>
      </w:pPr>
    </w:p>
    <w:p w:rsidR="0072664A" w:rsidRPr="00F72871" w:rsidRDefault="0072664A" w:rsidP="00E7775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Es importante destacar el </w:t>
      </w:r>
      <w:r w:rsidRPr="00B72B8B">
        <w:rPr>
          <w:rFonts w:ascii="Times New Roman" w:hAnsi="Times New Roman" w:cs="Times New Roman"/>
          <w:b/>
          <w:color w:val="222222"/>
          <w:sz w:val="24"/>
          <w:szCs w:val="24"/>
          <w:shd w:val="clear" w:color="auto" w:fill="FFFFFF"/>
        </w:rPr>
        <w:t xml:space="preserve">art. </w:t>
      </w:r>
      <w:r w:rsidRPr="00B72B8B">
        <w:rPr>
          <w:rFonts w:ascii="Times New Roman" w:hAnsi="Times New Roman" w:cs="Times New Roman"/>
          <w:b/>
          <w:color w:val="222222"/>
          <w:sz w:val="24"/>
          <w:szCs w:val="24"/>
          <w:shd w:val="clear" w:color="auto" w:fill="FFFFFF"/>
        </w:rPr>
        <w:t>171</w:t>
      </w:r>
      <w:r>
        <w:rPr>
          <w:rFonts w:ascii="Times New Roman" w:hAnsi="Times New Roman" w:cs="Times New Roman"/>
          <w:color w:val="222222"/>
          <w:sz w:val="24"/>
          <w:szCs w:val="24"/>
          <w:shd w:val="clear" w:color="auto" w:fill="FFFFFF"/>
        </w:rPr>
        <w:t>, según el cual “l</w:t>
      </w:r>
      <w:r w:rsidRPr="00F72871">
        <w:rPr>
          <w:rFonts w:ascii="Times New Roman" w:hAnsi="Times New Roman" w:cs="Times New Roman"/>
          <w:color w:val="222222"/>
          <w:sz w:val="24"/>
          <w:szCs w:val="24"/>
          <w:shd w:val="clear" w:color="auto" w:fill="FFFFFF"/>
        </w:rPr>
        <w:t xml:space="preserve">a UE </w:t>
      </w:r>
      <w:r>
        <w:rPr>
          <w:rFonts w:ascii="Times New Roman" w:hAnsi="Times New Roman" w:cs="Times New Roman"/>
          <w:color w:val="222222"/>
          <w:sz w:val="24"/>
          <w:szCs w:val="24"/>
          <w:shd w:val="clear" w:color="auto" w:fill="FFFFFF"/>
        </w:rPr>
        <w:t>(</w:t>
      </w:r>
      <w:r w:rsidRPr="00F7287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F72871">
        <w:rPr>
          <w:rFonts w:ascii="Times New Roman" w:hAnsi="Times New Roman" w:cs="Times New Roman"/>
          <w:color w:val="222222"/>
          <w:sz w:val="24"/>
          <w:szCs w:val="24"/>
          <w:shd w:val="clear" w:color="auto" w:fill="FFFFFF"/>
        </w:rPr>
        <w:t xml:space="preserve"> elaborará un conjunto de orientaciones relativas a los objetivos, prioridades y grandes líneas de las acciones previstas en el ámbito de las redes transeuropeas; estas orientaciones identificarán proyectos de interés común … </w:t>
      </w:r>
      <w:r w:rsidRPr="0072664A">
        <w:rPr>
          <w:rFonts w:ascii="Times New Roman" w:hAnsi="Times New Roman" w:cs="Times New Roman"/>
          <w:b/>
          <w:i/>
          <w:color w:val="222222"/>
          <w:sz w:val="24"/>
          <w:szCs w:val="24"/>
          <w:shd w:val="clear" w:color="auto" w:fill="FFFFFF"/>
        </w:rPr>
        <w:t>l</w:t>
      </w:r>
      <w:r w:rsidRPr="0072664A">
        <w:rPr>
          <w:rFonts w:ascii="Times New Roman" w:hAnsi="Times New Roman" w:cs="Times New Roman"/>
          <w:b/>
          <w:i/>
          <w:color w:val="222222"/>
          <w:sz w:val="24"/>
          <w:szCs w:val="24"/>
          <w:shd w:val="clear" w:color="auto" w:fill="FFFFFF"/>
        </w:rPr>
        <w:t>a acción de la Unión tendrá en cuenta la viabilidad económica potencial de los proyectos</w:t>
      </w:r>
      <w:r w:rsidRPr="00F72871">
        <w:rPr>
          <w:rFonts w:ascii="Times New Roman" w:hAnsi="Times New Roman" w:cs="Times New Roman"/>
          <w:color w:val="222222"/>
          <w:sz w:val="24"/>
          <w:szCs w:val="24"/>
          <w:shd w:val="clear" w:color="auto" w:fill="FFFFFF"/>
        </w:rPr>
        <w:t>.</w:t>
      </w:r>
    </w:p>
    <w:p w:rsidR="0072664A" w:rsidRDefault="0072664A" w:rsidP="00E77756">
      <w:pPr>
        <w:spacing w:after="0" w:line="240" w:lineRule="auto"/>
        <w:jc w:val="both"/>
        <w:rPr>
          <w:rFonts w:ascii="Times New Roman" w:hAnsi="Times New Roman" w:cs="Times New Roman"/>
          <w:sz w:val="24"/>
          <w:szCs w:val="24"/>
        </w:rPr>
      </w:pPr>
    </w:p>
    <w:p w:rsidR="0072664A" w:rsidRDefault="00E77756"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vista de </w:t>
      </w:r>
      <w:r w:rsidR="0072664A">
        <w:rPr>
          <w:rFonts w:ascii="Times New Roman" w:hAnsi="Times New Roman" w:cs="Times New Roman"/>
          <w:sz w:val="24"/>
          <w:szCs w:val="24"/>
        </w:rPr>
        <w:t>ello, la UE lleva aprobando desde los años 90 una serie de actos jurídicos. No nos detendremos en el histórico, actualmente nos afectan mayormente dos Reglamentos:</w:t>
      </w:r>
    </w:p>
    <w:p w:rsidR="0027453B" w:rsidRPr="00F72871" w:rsidRDefault="0027453B" w:rsidP="00E77756">
      <w:pPr>
        <w:spacing w:after="0" w:line="240" w:lineRule="auto"/>
        <w:jc w:val="both"/>
        <w:rPr>
          <w:rFonts w:ascii="Times New Roman" w:hAnsi="Times New Roman" w:cs="Times New Roman"/>
          <w:sz w:val="24"/>
          <w:szCs w:val="24"/>
        </w:rPr>
      </w:pPr>
    </w:p>
    <w:p w:rsidR="0072664A" w:rsidRDefault="0027453B"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hyperlink r:id="rId8" w:history="1">
        <w:r w:rsidRPr="00A63DF3">
          <w:rPr>
            <w:rStyle w:val="Hipervnculo"/>
            <w:rFonts w:ascii="Times New Roman" w:hAnsi="Times New Roman" w:cs="Times New Roman"/>
            <w:sz w:val="24"/>
            <w:szCs w:val="24"/>
          </w:rPr>
          <w:t>Reglamento 1315/2013/UE</w:t>
        </w:r>
      </w:hyperlink>
      <w:r>
        <w:rPr>
          <w:rFonts w:ascii="Times New Roman" w:hAnsi="Times New Roman" w:cs="Times New Roman"/>
          <w:sz w:val="24"/>
          <w:szCs w:val="24"/>
        </w:rPr>
        <w:t xml:space="preserve"> </w:t>
      </w:r>
      <w:r w:rsidRPr="0027453B">
        <w:rPr>
          <w:rFonts w:ascii="Times New Roman" w:hAnsi="Times New Roman" w:cs="Times New Roman"/>
          <w:sz w:val="24"/>
          <w:szCs w:val="24"/>
        </w:rPr>
        <w:t xml:space="preserve">sobre las orientaciones de la Unión para el desarrollo de la Red </w:t>
      </w:r>
      <w:proofErr w:type="spellStart"/>
      <w:r w:rsidRPr="0027453B">
        <w:rPr>
          <w:rFonts w:ascii="Times New Roman" w:hAnsi="Times New Roman" w:cs="Times New Roman"/>
          <w:sz w:val="24"/>
          <w:szCs w:val="24"/>
        </w:rPr>
        <w:t>Transeuropea</w:t>
      </w:r>
      <w:proofErr w:type="spellEnd"/>
      <w:r w:rsidRPr="0027453B">
        <w:rPr>
          <w:rFonts w:ascii="Times New Roman" w:hAnsi="Times New Roman" w:cs="Times New Roman"/>
          <w:sz w:val="24"/>
          <w:szCs w:val="24"/>
        </w:rPr>
        <w:t xml:space="preserve"> de Transporte</w:t>
      </w:r>
      <w:r w:rsidR="00FA5200">
        <w:rPr>
          <w:rFonts w:ascii="Times New Roman" w:hAnsi="Times New Roman" w:cs="Times New Roman"/>
          <w:sz w:val="24"/>
          <w:szCs w:val="24"/>
        </w:rPr>
        <w:t xml:space="preserve"> (RTE-T).</w:t>
      </w:r>
      <w:r w:rsidR="0072664A">
        <w:rPr>
          <w:rFonts w:ascii="Times New Roman" w:hAnsi="Times New Roman" w:cs="Times New Roman"/>
          <w:sz w:val="24"/>
          <w:szCs w:val="24"/>
        </w:rPr>
        <w:t xml:space="preserve"> </w:t>
      </w:r>
      <w:r w:rsidR="00FA5200" w:rsidRPr="0072664A">
        <w:rPr>
          <w:rFonts w:ascii="Times New Roman" w:hAnsi="Times New Roman" w:cs="Times New Roman"/>
          <w:sz w:val="24"/>
          <w:szCs w:val="24"/>
        </w:rPr>
        <w:t xml:space="preserve">La </w:t>
      </w:r>
      <w:r w:rsidR="00FA5200">
        <w:rPr>
          <w:rFonts w:ascii="Times New Roman" w:hAnsi="Times New Roman" w:cs="Times New Roman"/>
          <w:sz w:val="24"/>
          <w:szCs w:val="24"/>
        </w:rPr>
        <w:t>RTE-T</w:t>
      </w:r>
      <w:r w:rsidR="00FA5200" w:rsidRPr="0072664A">
        <w:rPr>
          <w:rFonts w:ascii="Times New Roman" w:hAnsi="Times New Roman" w:cs="Times New Roman"/>
          <w:sz w:val="24"/>
          <w:szCs w:val="24"/>
        </w:rPr>
        <w:t xml:space="preserve"> comprende las infraestructuras de transporte </w:t>
      </w:r>
      <w:r w:rsidR="00FA5200">
        <w:rPr>
          <w:rFonts w:ascii="Times New Roman" w:hAnsi="Times New Roman" w:cs="Times New Roman"/>
          <w:sz w:val="24"/>
          <w:szCs w:val="24"/>
        </w:rPr>
        <w:t xml:space="preserve">(ferrocarril, carretera, fluvial, marítimo </w:t>
      </w:r>
      <w:r w:rsidR="00FA5200" w:rsidRPr="0072664A">
        <w:rPr>
          <w:rFonts w:ascii="Times New Roman" w:hAnsi="Times New Roman" w:cs="Times New Roman"/>
          <w:sz w:val="24"/>
          <w:szCs w:val="24"/>
        </w:rPr>
        <w:t xml:space="preserve">y </w:t>
      </w:r>
      <w:r w:rsidR="00FA5200">
        <w:rPr>
          <w:rFonts w:ascii="Times New Roman" w:hAnsi="Times New Roman" w:cs="Times New Roman"/>
          <w:sz w:val="24"/>
          <w:szCs w:val="24"/>
        </w:rPr>
        <w:t xml:space="preserve">aéreo) </w:t>
      </w:r>
      <w:r w:rsidR="00FA5200" w:rsidRPr="0072664A">
        <w:rPr>
          <w:rFonts w:ascii="Times New Roman" w:hAnsi="Times New Roman" w:cs="Times New Roman"/>
          <w:sz w:val="24"/>
          <w:szCs w:val="24"/>
        </w:rPr>
        <w:t>las aplicaciones telemáticas, así como medidas de fomento de la gestión y el uso eficientes de dichas infraestructuras, y que permitan la creación y funcionamiento de unos servicios de transporte sostenibles y eficientes</w:t>
      </w:r>
      <w:r w:rsidR="00FA5200">
        <w:rPr>
          <w:rFonts w:ascii="Times New Roman" w:hAnsi="Times New Roman" w:cs="Times New Roman"/>
          <w:sz w:val="24"/>
          <w:szCs w:val="24"/>
        </w:rPr>
        <w:t>.</w:t>
      </w:r>
      <w:r w:rsidR="00406E68">
        <w:rPr>
          <w:rFonts w:ascii="Times New Roman" w:hAnsi="Times New Roman" w:cs="Times New Roman"/>
          <w:sz w:val="24"/>
          <w:szCs w:val="24"/>
        </w:rPr>
        <w:t xml:space="preserve"> El objeto del Reglamento es </w:t>
      </w:r>
      <w:r w:rsidR="0072664A">
        <w:rPr>
          <w:rFonts w:ascii="Times New Roman" w:hAnsi="Times New Roman" w:cs="Times New Roman"/>
          <w:sz w:val="24"/>
          <w:szCs w:val="24"/>
        </w:rPr>
        <w:t>establecer:</w:t>
      </w:r>
    </w:p>
    <w:p w:rsidR="0072664A" w:rsidRDefault="0072664A" w:rsidP="00E77756">
      <w:pPr>
        <w:spacing w:after="0" w:line="240" w:lineRule="auto"/>
        <w:jc w:val="both"/>
        <w:rPr>
          <w:rFonts w:ascii="Times New Roman" w:hAnsi="Times New Roman" w:cs="Times New Roman"/>
          <w:sz w:val="24"/>
          <w:szCs w:val="24"/>
        </w:rPr>
      </w:pPr>
    </w:p>
    <w:p w:rsidR="0027453B" w:rsidRPr="0072664A" w:rsidRDefault="0072664A" w:rsidP="00E77756">
      <w:pPr>
        <w:pStyle w:val="Prrafodelista"/>
        <w:numPr>
          <w:ilvl w:val="0"/>
          <w:numId w:val="2"/>
        </w:numPr>
        <w:spacing w:after="0" w:line="240" w:lineRule="auto"/>
        <w:jc w:val="both"/>
        <w:rPr>
          <w:rFonts w:ascii="Times New Roman" w:hAnsi="Times New Roman" w:cs="Times New Roman"/>
          <w:sz w:val="24"/>
          <w:szCs w:val="24"/>
        </w:rPr>
      </w:pPr>
      <w:r w:rsidRPr="0072664A">
        <w:rPr>
          <w:rFonts w:ascii="Times New Roman" w:hAnsi="Times New Roman" w:cs="Times New Roman"/>
          <w:sz w:val="24"/>
          <w:szCs w:val="24"/>
        </w:rPr>
        <w:t xml:space="preserve">orientaciones para el desarrollo de una RTE-T con una estructura de </w:t>
      </w:r>
      <w:r w:rsidRPr="000B29D4">
        <w:rPr>
          <w:rFonts w:ascii="Times New Roman" w:hAnsi="Times New Roman" w:cs="Times New Roman"/>
          <w:b/>
          <w:sz w:val="24"/>
          <w:szCs w:val="24"/>
        </w:rPr>
        <w:t>doble capa</w:t>
      </w:r>
      <w:r w:rsidRPr="0072664A">
        <w:rPr>
          <w:rFonts w:ascii="Times New Roman" w:hAnsi="Times New Roman" w:cs="Times New Roman"/>
          <w:sz w:val="24"/>
          <w:szCs w:val="24"/>
        </w:rPr>
        <w:t xml:space="preserve">, consistente en la </w:t>
      </w:r>
      <w:r w:rsidRPr="00293E28">
        <w:rPr>
          <w:rFonts w:ascii="Times New Roman" w:hAnsi="Times New Roman" w:cs="Times New Roman"/>
          <w:b/>
          <w:sz w:val="24"/>
          <w:szCs w:val="24"/>
        </w:rPr>
        <w:t>red global, y la red básica</w:t>
      </w:r>
      <w:r w:rsidRPr="0072664A">
        <w:rPr>
          <w:rFonts w:ascii="Times New Roman" w:hAnsi="Times New Roman" w:cs="Times New Roman"/>
          <w:sz w:val="24"/>
          <w:szCs w:val="24"/>
        </w:rPr>
        <w:t>, que se establece sobre la red global</w:t>
      </w:r>
    </w:p>
    <w:p w:rsidR="0072664A" w:rsidRPr="0072664A" w:rsidRDefault="0072664A" w:rsidP="00E77756">
      <w:pPr>
        <w:pStyle w:val="Prrafodelista"/>
        <w:numPr>
          <w:ilvl w:val="0"/>
          <w:numId w:val="2"/>
        </w:numPr>
        <w:spacing w:after="0" w:line="240" w:lineRule="auto"/>
        <w:jc w:val="both"/>
        <w:rPr>
          <w:rFonts w:ascii="Times New Roman" w:hAnsi="Times New Roman" w:cs="Times New Roman"/>
          <w:sz w:val="24"/>
          <w:szCs w:val="24"/>
        </w:rPr>
      </w:pPr>
      <w:r w:rsidRPr="0072664A">
        <w:rPr>
          <w:rFonts w:ascii="Times New Roman" w:hAnsi="Times New Roman" w:cs="Times New Roman"/>
          <w:sz w:val="24"/>
          <w:szCs w:val="24"/>
        </w:rPr>
        <w:t xml:space="preserve">proyectos de interés común, lo que incluye la especificación de los requisitos que se han de cumplir para la gestión de las infraestructuras de la red </w:t>
      </w:r>
      <w:r w:rsidR="00E77756">
        <w:rPr>
          <w:rFonts w:ascii="Times New Roman" w:hAnsi="Times New Roman" w:cs="Times New Roman"/>
          <w:sz w:val="24"/>
          <w:szCs w:val="24"/>
        </w:rPr>
        <w:t>RTE-T</w:t>
      </w:r>
    </w:p>
    <w:p w:rsidR="0072664A" w:rsidRPr="0072664A" w:rsidRDefault="0072664A" w:rsidP="00E77756">
      <w:pPr>
        <w:pStyle w:val="Prrafodelista"/>
        <w:numPr>
          <w:ilvl w:val="0"/>
          <w:numId w:val="2"/>
        </w:numPr>
        <w:spacing w:after="0" w:line="240" w:lineRule="auto"/>
        <w:jc w:val="both"/>
        <w:rPr>
          <w:rFonts w:ascii="Times New Roman" w:hAnsi="Times New Roman" w:cs="Times New Roman"/>
          <w:sz w:val="24"/>
          <w:szCs w:val="24"/>
        </w:rPr>
      </w:pPr>
      <w:r w:rsidRPr="0072664A">
        <w:rPr>
          <w:rFonts w:ascii="Times New Roman" w:hAnsi="Times New Roman" w:cs="Times New Roman"/>
          <w:sz w:val="24"/>
          <w:szCs w:val="24"/>
        </w:rPr>
        <w:lastRenderedPageBreak/>
        <w:t xml:space="preserve">prioridades para el desarrollo de la red </w:t>
      </w:r>
      <w:proofErr w:type="spellStart"/>
      <w:r w:rsidRPr="0072664A">
        <w:rPr>
          <w:rFonts w:ascii="Times New Roman" w:hAnsi="Times New Roman" w:cs="Times New Roman"/>
          <w:sz w:val="24"/>
          <w:szCs w:val="24"/>
        </w:rPr>
        <w:t>transeuropea</w:t>
      </w:r>
      <w:proofErr w:type="spellEnd"/>
    </w:p>
    <w:p w:rsidR="0072664A" w:rsidRPr="0072664A" w:rsidRDefault="0072664A" w:rsidP="00E77756">
      <w:pPr>
        <w:pStyle w:val="Prrafodelista"/>
        <w:numPr>
          <w:ilvl w:val="0"/>
          <w:numId w:val="2"/>
        </w:numPr>
        <w:spacing w:after="0" w:line="240" w:lineRule="auto"/>
        <w:jc w:val="both"/>
        <w:rPr>
          <w:rFonts w:ascii="Times New Roman" w:hAnsi="Times New Roman" w:cs="Times New Roman"/>
          <w:sz w:val="24"/>
          <w:szCs w:val="24"/>
        </w:rPr>
      </w:pPr>
      <w:r w:rsidRPr="0072664A">
        <w:rPr>
          <w:rFonts w:ascii="Times New Roman" w:hAnsi="Times New Roman" w:cs="Times New Roman"/>
          <w:sz w:val="24"/>
          <w:szCs w:val="24"/>
        </w:rPr>
        <w:t xml:space="preserve">medidas para la ejecución de la </w:t>
      </w:r>
      <w:r w:rsidR="00E77756">
        <w:rPr>
          <w:rFonts w:ascii="Times New Roman" w:hAnsi="Times New Roman" w:cs="Times New Roman"/>
          <w:sz w:val="24"/>
          <w:szCs w:val="24"/>
        </w:rPr>
        <w:t>RTE-T</w:t>
      </w:r>
    </w:p>
    <w:p w:rsidR="00E77756" w:rsidRDefault="00E77756" w:rsidP="00E77756">
      <w:pPr>
        <w:spacing w:after="0" w:line="240" w:lineRule="auto"/>
        <w:jc w:val="both"/>
        <w:rPr>
          <w:rFonts w:ascii="Times New Roman" w:hAnsi="Times New Roman" w:cs="Times New Roman"/>
          <w:sz w:val="24"/>
          <w:szCs w:val="24"/>
        </w:rPr>
      </w:pPr>
    </w:p>
    <w:p w:rsidR="00E77756" w:rsidRDefault="00406E68" w:rsidP="00E77756">
      <w:pPr>
        <w:spacing w:after="0" w:line="240" w:lineRule="auto"/>
        <w:jc w:val="both"/>
        <w:rPr>
          <w:rFonts w:ascii="Times New Roman" w:hAnsi="Times New Roman" w:cs="Times New Roman"/>
          <w:sz w:val="24"/>
          <w:szCs w:val="24"/>
        </w:rPr>
      </w:pPr>
      <w:r w:rsidRPr="00406E68">
        <w:rPr>
          <w:rFonts w:ascii="Times New Roman" w:hAnsi="Times New Roman" w:cs="Times New Roman"/>
          <w:sz w:val="24"/>
          <w:szCs w:val="24"/>
        </w:rPr>
        <w:t xml:space="preserve">Según el art. 6 “La </w:t>
      </w:r>
      <w:r w:rsidRPr="00406E68">
        <w:rPr>
          <w:rFonts w:ascii="Times New Roman" w:hAnsi="Times New Roman" w:cs="Times New Roman"/>
          <w:b/>
          <w:sz w:val="24"/>
          <w:szCs w:val="24"/>
        </w:rPr>
        <w:t>red global</w:t>
      </w:r>
      <w:r w:rsidRPr="00406E68">
        <w:rPr>
          <w:rFonts w:ascii="Times New Roman" w:hAnsi="Times New Roman" w:cs="Times New Roman"/>
          <w:sz w:val="24"/>
          <w:szCs w:val="24"/>
        </w:rPr>
        <w:t xml:space="preserve"> consistirá en todas las infraestructuras existentes y planificadas de la red </w:t>
      </w:r>
      <w:proofErr w:type="spellStart"/>
      <w:r w:rsidRPr="00406E68">
        <w:rPr>
          <w:rFonts w:ascii="Times New Roman" w:hAnsi="Times New Roman" w:cs="Times New Roman"/>
          <w:sz w:val="24"/>
          <w:szCs w:val="24"/>
        </w:rPr>
        <w:t>transeuropea</w:t>
      </w:r>
      <w:proofErr w:type="spellEnd"/>
      <w:r w:rsidRPr="00406E68">
        <w:rPr>
          <w:rFonts w:ascii="Times New Roman" w:hAnsi="Times New Roman" w:cs="Times New Roman"/>
          <w:sz w:val="24"/>
          <w:szCs w:val="24"/>
        </w:rPr>
        <w:t xml:space="preserve"> de transporte, así como de medidas destinadas a fomentar el uso eficiente y sostenible desde el punto de vista social y medioambiental de dichas infraestructuras…la </w:t>
      </w:r>
      <w:r w:rsidRPr="00406E68">
        <w:rPr>
          <w:rFonts w:ascii="Times New Roman" w:hAnsi="Times New Roman" w:cs="Times New Roman"/>
          <w:b/>
          <w:sz w:val="24"/>
          <w:szCs w:val="24"/>
        </w:rPr>
        <w:t>red básica</w:t>
      </w:r>
      <w:r w:rsidRPr="00406E68">
        <w:rPr>
          <w:rFonts w:ascii="Times New Roman" w:hAnsi="Times New Roman" w:cs="Times New Roman"/>
          <w:sz w:val="24"/>
          <w:szCs w:val="24"/>
        </w:rPr>
        <w:t xml:space="preserve"> estará compuesta de aquellas partes de la red global que tengan la mayor importancia estratégica para lograr los objetivos de desarrollo de la red </w:t>
      </w:r>
      <w:proofErr w:type="spellStart"/>
      <w:r w:rsidRPr="00406E68">
        <w:rPr>
          <w:rFonts w:ascii="Times New Roman" w:hAnsi="Times New Roman" w:cs="Times New Roman"/>
          <w:sz w:val="24"/>
          <w:szCs w:val="24"/>
        </w:rPr>
        <w:t>transeuropea</w:t>
      </w:r>
      <w:proofErr w:type="spellEnd"/>
      <w:r w:rsidRPr="00406E68">
        <w:rPr>
          <w:rFonts w:ascii="Times New Roman" w:hAnsi="Times New Roman" w:cs="Times New Roman"/>
          <w:sz w:val="24"/>
          <w:szCs w:val="24"/>
        </w:rPr>
        <w:t xml:space="preserve"> de transporte”… asimismo según el considerando 40, “</w:t>
      </w:r>
      <w:r w:rsidR="000B29D4">
        <w:rPr>
          <w:rFonts w:ascii="Times New Roman" w:hAnsi="Times New Roman" w:cs="Times New Roman"/>
          <w:sz w:val="24"/>
          <w:szCs w:val="24"/>
        </w:rPr>
        <w:t>l</w:t>
      </w:r>
      <w:r w:rsidRPr="00406E68">
        <w:rPr>
          <w:rFonts w:ascii="Times New Roman" w:hAnsi="Times New Roman" w:cs="Times New Roman"/>
          <w:sz w:val="24"/>
          <w:szCs w:val="24"/>
        </w:rPr>
        <w:t xml:space="preserve">a </w:t>
      </w:r>
      <w:r w:rsidRPr="00406E68">
        <w:rPr>
          <w:rFonts w:ascii="Times New Roman" w:hAnsi="Times New Roman" w:cs="Times New Roman"/>
          <w:b/>
          <w:sz w:val="24"/>
          <w:szCs w:val="24"/>
        </w:rPr>
        <w:t>red básica</w:t>
      </w:r>
      <w:r w:rsidRPr="00406E68">
        <w:rPr>
          <w:rFonts w:ascii="Times New Roman" w:hAnsi="Times New Roman" w:cs="Times New Roman"/>
          <w:sz w:val="24"/>
          <w:szCs w:val="24"/>
        </w:rPr>
        <w:t xml:space="preserve"> debe ser un subconjunto de la red global superpuesta a ella. Debe representar los nodos y enlaces estratégicamente más importantes de la red </w:t>
      </w:r>
      <w:proofErr w:type="spellStart"/>
      <w:r w:rsidRPr="00406E68">
        <w:rPr>
          <w:rFonts w:ascii="Times New Roman" w:hAnsi="Times New Roman" w:cs="Times New Roman"/>
          <w:sz w:val="24"/>
          <w:szCs w:val="24"/>
        </w:rPr>
        <w:t>transeuropea</w:t>
      </w:r>
      <w:proofErr w:type="spellEnd"/>
      <w:r w:rsidRPr="00406E68">
        <w:rPr>
          <w:rFonts w:ascii="Times New Roman" w:hAnsi="Times New Roman" w:cs="Times New Roman"/>
          <w:sz w:val="24"/>
          <w:szCs w:val="24"/>
        </w:rPr>
        <w:t xml:space="preserve"> de transporte, según las necesidades del tráfico. Debe ser multimodal, es decir, debe incluir todos los modos de transporte y sus conexiones, así como los sistemas pertinentes de gestión del tráfico y la información”.</w:t>
      </w:r>
    </w:p>
    <w:p w:rsidR="00E77756" w:rsidRDefault="00E77756" w:rsidP="00E77756">
      <w:pPr>
        <w:spacing w:after="0" w:line="240" w:lineRule="auto"/>
        <w:jc w:val="both"/>
        <w:rPr>
          <w:rFonts w:ascii="Times New Roman" w:hAnsi="Times New Roman" w:cs="Times New Roman"/>
          <w:sz w:val="24"/>
          <w:szCs w:val="24"/>
        </w:rPr>
      </w:pPr>
    </w:p>
    <w:p w:rsidR="001676E3" w:rsidRDefault="001676E3" w:rsidP="001676E3">
      <w:pPr>
        <w:spacing w:after="0" w:line="240" w:lineRule="auto"/>
        <w:jc w:val="both"/>
        <w:rPr>
          <w:rFonts w:ascii="Times New Roman" w:hAnsi="Times New Roman" w:cs="Times New Roman"/>
          <w:sz w:val="24"/>
          <w:szCs w:val="24"/>
        </w:rPr>
      </w:pPr>
      <w:r w:rsidRPr="0072664A">
        <w:rPr>
          <w:rFonts w:ascii="Times New Roman" w:hAnsi="Times New Roman" w:cs="Times New Roman"/>
          <w:sz w:val="24"/>
          <w:szCs w:val="24"/>
        </w:rPr>
        <w:t xml:space="preserve">El Reglamento se aplica a la </w:t>
      </w:r>
      <w:r>
        <w:rPr>
          <w:rFonts w:ascii="Times New Roman" w:hAnsi="Times New Roman" w:cs="Times New Roman"/>
          <w:sz w:val="24"/>
          <w:szCs w:val="24"/>
        </w:rPr>
        <w:t>RTE-T</w:t>
      </w:r>
      <w:r w:rsidRPr="0072664A">
        <w:rPr>
          <w:rFonts w:ascii="Times New Roman" w:hAnsi="Times New Roman" w:cs="Times New Roman"/>
          <w:sz w:val="24"/>
          <w:szCs w:val="24"/>
        </w:rPr>
        <w:t xml:space="preserve"> según se muestra en los mapas del anexo I</w:t>
      </w:r>
      <w:r>
        <w:rPr>
          <w:rFonts w:ascii="Times New Roman" w:hAnsi="Times New Roman" w:cs="Times New Roman"/>
          <w:sz w:val="24"/>
          <w:szCs w:val="24"/>
        </w:rPr>
        <w:t xml:space="preserve"> del Reglamento</w:t>
      </w:r>
      <w:r w:rsidRPr="0072664A">
        <w:rPr>
          <w:rFonts w:ascii="Times New Roman" w:hAnsi="Times New Roman" w:cs="Times New Roman"/>
          <w:sz w:val="24"/>
          <w:szCs w:val="24"/>
        </w:rPr>
        <w:t xml:space="preserve">. </w:t>
      </w:r>
      <w:r>
        <w:rPr>
          <w:rFonts w:ascii="Times New Roman" w:hAnsi="Times New Roman" w:cs="Times New Roman"/>
          <w:sz w:val="24"/>
          <w:szCs w:val="24"/>
        </w:rPr>
        <w:t>Este anexo comprende una relación de mapas de la red global y básica. El Anexo II</w:t>
      </w:r>
      <w:r w:rsidRPr="00E77756">
        <w:rPr>
          <w:rFonts w:ascii="Times New Roman" w:hAnsi="Times New Roman" w:cs="Times New Roman"/>
          <w:sz w:val="24"/>
          <w:szCs w:val="24"/>
        </w:rPr>
        <w:t>.2 contiene una relación de los “Aeropuertos, puertos marítimos, puertos interiores y terminales ferroviarias de la</w:t>
      </w:r>
      <w:r>
        <w:rPr>
          <w:rFonts w:ascii="Times New Roman" w:hAnsi="Times New Roman" w:cs="Times New Roman"/>
          <w:sz w:val="24"/>
          <w:szCs w:val="24"/>
        </w:rPr>
        <w:t xml:space="preserve"> red básica y de la red global”, </w:t>
      </w:r>
      <w:r w:rsidRPr="00E77756">
        <w:rPr>
          <w:rFonts w:ascii="Times New Roman" w:hAnsi="Times New Roman" w:cs="Times New Roman"/>
          <w:sz w:val="24"/>
          <w:szCs w:val="24"/>
        </w:rPr>
        <w:t xml:space="preserve">en la que </w:t>
      </w:r>
      <w:r w:rsidRPr="00456FD1">
        <w:rPr>
          <w:rFonts w:ascii="Times New Roman" w:hAnsi="Times New Roman" w:cs="Times New Roman"/>
          <w:b/>
          <w:sz w:val="24"/>
          <w:szCs w:val="24"/>
        </w:rPr>
        <w:t xml:space="preserve">Pamplona figura </w:t>
      </w:r>
      <w:r>
        <w:rPr>
          <w:rFonts w:ascii="Times New Roman" w:hAnsi="Times New Roman" w:cs="Times New Roman"/>
          <w:b/>
          <w:sz w:val="24"/>
          <w:szCs w:val="24"/>
        </w:rPr>
        <w:t xml:space="preserve">únicamente </w:t>
      </w:r>
      <w:r w:rsidRPr="00456FD1">
        <w:rPr>
          <w:rFonts w:ascii="Times New Roman" w:hAnsi="Times New Roman" w:cs="Times New Roman"/>
          <w:b/>
          <w:sz w:val="24"/>
          <w:szCs w:val="24"/>
        </w:rPr>
        <w:t>en la red global</w:t>
      </w:r>
      <w:r>
        <w:rPr>
          <w:rFonts w:ascii="Times New Roman" w:hAnsi="Times New Roman" w:cs="Times New Roman"/>
          <w:sz w:val="24"/>
          <w:szCs w:val="24"/>
        </w:rPr>
        <w:t xml:space="preserve"> </w:t>
      </w:r>
      <w:r w:rsidRPr="00E77756">
        <w:rPr>
          <w:rFonts w:ascii="Times New Roman" w:hAnsi="Times New Roman" w:cs="Times New Roman"/>
          <w:sz w:val="24"/>
          <w:szCs w:val="24"/>
        </w:rPr>
        <w:t>en la “terminal ferroviaria” (</w:t>
      </w:r>
      <w:proofErr w:type="spellStart"/>
      <w:r w:rsidRPr="00E77756">
        <w:rPr>
          <w:rFonts w:ascii="Times New Roman" w:hAnsi="Times New Roman" w:cs="Times New Roman"/>
          <w:sz w:val="24"/>
          <w:szCs w:val="24"/>
        </w:rPr>
        <w:t>Noáin</w:t>
      </w:r>
      <w:proofErr w:type="spellEnd"/>
      <w:r w:rsidRPr="00E77756">
        <w:rPr>
          <w:rFonts w:ascii="Times New Roman" w:hAnsi="Times New Roman" w:cs="Times New Roman"/>
          <w:sz w:val="24"/>
          <w:szCs w:val="24"/>
        </w:rPr>
        <w:t>)</w:t>
      </w:r>
      <w:r>
        <w:rPr>
          <w:rFonts w:ascii="Times New Roman" w:hAnsi="Times New Roman" w:cs="Times New Roman"/>
          <w:sz w:val="24"/>
          <w:szCs w:val="24"/>
        </w:rPr>
        <w:t xml:space="preserve">, así como también en el </w:t>
      </w:r>
      <w:r w:rsidRPr="00E77756">
        <w:rPr>
          <w:rFonts w:ascii="Times New Roman" w:hAnsi="Times New Roman" w:cs="Times New Roman"/>
          <w:sz w:val="24"/>
          <w:szCs w:val="24"/>
        </w:rPr>
        <w:t>aeropuerto.</w:t>
      </w:r>
    </w:p>
    <w:p w:rsidR="001676E3" w:rsidRPr="006C6BCB" w:rsidRDefault="001676E3" w:rsidP="001676E3">
      <w:pPr>
        <w:spacing w:after="0" w:line="240" w:lineRule="auto"/>
        <w:jc w:val="both"/>
        <w:rPr>
          <w:rFonts w:ascii="Times New Roman" w:hAnsi="Times New Roman" w:cs="Times New Roman"/>
          <w:sz w:val="24"/>
          <w:szCs w:val="24"/>
        </w:rPr>
      </w:pPr>
    </w:p>
    <w:p w:rsidR="00406E68" w:rsidRDefault="00406E68" w:rsidP="00E77756">
      <w:pPr>
        <w:spacing w:after="0" w:line="240" w:lineRule="auto"/>
        <w:jc w:val="both"/>
        <w:rPr>
          <w:rFonts w:ascii="Times New Roman" w:hAnsi="Times New Roman" w:cs="Times New Roman"/>
          <w:sz w:val="24"/>
          <w:szCs w:val="24"/>
        </w:rPr>
      </w:pPr>
      <w:r w:rsidRPr="00406E68">
        <w:rPr>
          <w:rFonts w:ascii="Times New Roman" w:hAnsi="Times New Roman" w:cs="Times New Roman"/>
          <w:sz w:val="24"/>
          <w:szCs w:val="24"/>
        </w:rPr>
        <w:t xml:space="preserve">Además, se han introducido </w:t>
      </w:r>
      <w:r w:rsidRPr="00406E68">
        <w:rPr>
          <w:rFonts w:ascii="Times New Roman" w:hAnsi="Times New Roman" w:cs="Times New Roman"/>
          <w:b/>
          <w:sz w:val="24"/>
          <w:szCs w:val="24"/>
        </w:rPr>
        <w:t>nueve corredores multimodales principales</w:t>
      </w:r>
      <w:r w:rsidR="000B29D4">
        <w:rPr>
          <w:rStyle w:val="Refdenotaalpie"/>
          <w:rFonts w:ascii="Times New Roman" w:hAnsi="Times New Roman" w:cs="Times New Roman"/>
          <w:b/>
          <w:sz w:val="24"/>
          <w:szCs w:val="24"/>
        </w:rPr>
        <w:footnoteReference w:id="1"/>
      </w:r>
      <w:r w:rsidRPr="00406E68">
        <w:rPr>
          <w:rFonts w:ascii="Times New Roman" w:hAnsi="Times New Roman" w:cs="Times New Roman"/>
          <w:sz w:val="24"/>
          <w:szCs w:val="24"/>
        </w:rPr>
        <w:t>, entendidos como un nuevo instrumento estratégico para facilitar la ejecución coordinada de los proyectos de la red básica. Estos corredores deben agrupar a las partes interesadas de los sectores público y privado con el fin de que pongan en común sus recursos y los empleen en el desarrollo de la red básica. Para garantizar una realización eficaz y eficiente de los corredores, cada uno de ellos cuenta con el apoyo de un coordinador europeo</w:t>
      </w:r>
      <w:r>
        <w:rPr>
          <w:rStyle w:val="Refdenotaalpie"/>
          <w:rFonts w:ascii="Times New Roman" w:hAnsi="Times New Roman" w:cs="Times New Roman"/>
          <w:sz w:val="24"/>
          <w:szCs w:val="24"/>
        </w:rPr>
        <w:footnoteReference w:id="2"/>
      </w:r>
      <w:r w:rsidRPr="00406E68">
        <w:rPr>
          <w:rFonts w:ascii="Times New Roman" w:hAnsi="Times New Roman" w:cs="Times New Roman"/>
          <w:sz w:val="24"/>
          <w:szCs w:val="24"/>
        </w:rPr>
        <w:t>.</w:t>
      </w:r>
      <w:r w:rsidR="00412CD5">
        <w:rPr>
          <w:rFonts w:ascii="Times New Roman" w:hAnsi="Times New Roman" w:cs="Times New Roman"/>
          <w:sz w:val="24"/>
          <w:szCs w:val="24"/>
        </w:rPr>
        <w:t xml:space="preserve"> </w:t>
      </w:r>
    </w:p>
    <w:p w:rsidR="00406E68" w:rsidRDefault="00406E68" w:rsidP="00E77756">
      <w:pPr>
        <w:spacing w:after="0" w:line="240" w:lineRule="auto"/>
        <w:jc w:val="both"/>
        <w:rPr>
          <w:rFonts w:ascii="Times New Roman" w:hAnsi="Times New Roman" w:cs="Times New Roman"/>
          <w:sz w:val="24"/>
          <w:szCs w:val="24"/>
        </w:rPr>
      </w:pPr>
    </w:p>
    <w:p w:rsidR="000B29D4" w:rsidRDefault="000B29D4"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Cada corredor elabora un Plan de Trabajo, que está publicado en la web de la Comisión. E</w:t>
      </w:r>
      <w:r w:rsidR="00D2270B">
        <w:rPr>
          <w:rFonts w:ascii="Times New Roman" w:hAnsi="Times New Roman" w:cs="Times New Roman"/>
          <w:sz w:val="24"/>
          <w:szCs w:val="24"/>
        </w:rPr>
        <w:t>n</w:t>
      </w:r>
      <w:r>
        <w:rPr>
          <w:rFonts w:ascii="Times New Roman" w:hAnsi="Times New Roman" w:cs="Times New Roman"/>
          <w:sz w:val="24"/>
          <w:szCs w:val="24"/>
        </w:rPr>
        <w:t xml:space="preserve"> relación con el </w:t>
      </w:r>
      <w:r w:rsidRPr="00D2270B">
        <w:rPr>
          <w:rFonts w:ascii="Times New Roman" w:hAnsi="Times New Roman" w:cs="Times New Roman"/>
          <w:b/>
          <w:sz w:val="24"/>
          <w:szCs w:val="24"/>
        </w:rPr>
        <w:t>Plan de Trabajo del Corredor Atlántico</w:t>
      </w:r>
      <w:r>
        <w:rPr>
          <w:rFonts w:ascii="Times New Roman" w:hAnsi="Times New Roman" w:cs="Times New Roman"/>
          <w:sz w:val="24"/>
          <w:szCs w:val="24"/>
        </w:rPr>
        <w:t>, debemos destacar que la conexión Pamplona-Zaragoza, figura en dos ocasiones en el texto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rsidR="00D2270B" w:rsidRDefault="00D2270B" w:rsidP="00E77756">
      <w:pPr>
        <w:spacing w:after="0" w:line="240" w:lineRule="auto"/>
        <w:jc w:val="both"/>
        <w:rPr>
          <w:rFonts w:ascii="Times New Roman" w:hAnsi="Times New Roman" w:cs="Times New Roman"/>
          <w:sz w:val="24"/>
          <w:szCs w:val="24"/>
        </w:rPr>
      </w:pPr>
    </w:p>
    <w:p w:rsidR="00D2270B" w:rsidRPr="00F72871" w:rsidRDefault="00D2270B" w:rsidP="00D22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informe del </w:t>
      </w:r>
      <w:r w:rsidRPr="00D2270B">
        <w:rPr>
          <w:rFonts w:ascii="Times New Roman" w:hAnsi="Times New Roman" w:cs="Times New Roman"/>
          <w:b/>
          <w:sz w:val="24"/>
          <w:szCs w:val="24"/>
        </w:rPr>
        <w:t>Parlamento Europeo</w:t>
      </w:r>
      <w:r>
        <w:rPr>
          <w:rFonts w:ascii="Times New Roman" w:hAnsi="Times New Roman" w:cs="Times New Roman"/>
          <w:sz w:val="24"/>
          <w:szCs w:val="24"/>
        </w:rPr>
        <w:t xml:space="preserve"> de 2013, en el que se aprobaba el mencionado Reglamento</w:t>
      </w:r>
      <w:r w:rsidRPr="00F72871">
        <w:rPr>
          <w:rFonts w:ascii="Times New Roman" w:hAnsi="Times New Roman" w:cs="Times New Roman"/>
          <w:sz w:val="24"/>
          <w:szCs w:val="24"/>
        </w:rPr>
        <w:t xml:space="preserve">, </w:t>
      </w:r>
      <w:r w:rsidRPr="00D2270B">
        <w:rPr>
          <w:rFonts w:ascii="Times New Roman" w:hAnsi="Times New Roman" w:cs="Times New Roman"/>
          <w:sz w:val="24"/>
          <w:szCs w:val="24"/>
        </w:rPr>
        <w:t>insistió, entre otras cosas, en que la selección de proyectos debe basarse en el valor añadido europeo (resultante de opciones estratégicas o de intervenciones financieras que comporten una mejora significativa y mensurable de las conexiones y flujos de transporte). Señaló, además, la necesidad de definir un «análisis de rentabilidad socioeconómica», entendido como una evaluación previa cuantificada, efectuada sobre la base de una metodología armonizada, del valor de un proyecto o programa. Según el Parlamento, esta metodología debía</w:t>
      </w:r>
      <w:r w:rsidRPr="00F72871">
        <w:rPr>
          <w:rFonts w:ascii="Times New Roman" w:hAnsi="Times New Roman" w:cs="Times New Roman"/>
          <w:sz w:val="24"/>
          <w:szCs w:val="24"/>
        </w:rPr>
        <w:t xml:space="preserve"> tener en cuenta asimismo todos los beneficios y costes sociales, económicos y medioambientales, y servir como indicador de la contribución al bienestar</w:t>
      </w:r>
    </w:p>
    <w:p w:rsidR="00D2270B" w:rsidRDefault="00D2270B" w:rsidP="00E77756">
      <w:pPr>
        <w:spacing w:after="0" w:line="240" w:lineRule="auto"/>
        <w:jc w:val="both"/>
        <w:rPr>
          <w:rFonts w:ascii="Times New Roman" w:hAnsi="Times New Roman" w:cs="Times New Roman"/>
          <w:sz w:val="24"/>
          <w:szCs w:val="24"/>
        </w:rPr>
      </w:pPr>
    </w:p>
    <w:p w:rsidR="000B29D4" w:rsidRDefault="000B29D4" w:rsidP="00E77756">
      <w:pPr>
        <w:spacing w:after="0" w:line="240" w:lineRule="auto"/>
        <w:jc w:val="both"/>
        <w:rPr>
          <w:rFonts w:ascii="Times New Roman" w:hAnsi="Times New Roman" w:cs="Times New Roman"/>
          <w:sz w:val="24"/>
          <w:szCs w:val="24"/>
        </w:rPr>
      </w:pPr>
    </w:p>
    <w:p w:rsidR="00FF1151" w:rsidRDefault="00406E68" w:rsidP="001676E3">
      <w:pPr>
        <w:spacing w:after="0" w:line="240" w:lineRule="auto"/>
        <w:jc w:val="center"/>
        <w:rPr>
          <w:rFonts w:ascii="Times New Roman" w:hAnsi="Times New Roman" w:cs="Times New Roman"/>
          <w:sz w:val="24"/>
          <w:szCs w:val="24"/>
        </w:rPr>
      </w:pPr>
      <w:r>
        <w:rPr>
          <w:noProof/>
        </w:rPr>
        <w:drawing>
          <wp:inline distT="0" distB="0" distL="0" distR="0" wp14:anchorId="207E9613" wp14:editId="731D9593">
            <wp:extent cx="3661608" cy="348507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4309" cy="3487643"/>
                    </a:xfrm>
                    <a:prstGeom prst="rect">
                      <a:avLst/>
                    </a:prstGeom>
                  </pic:spPr>
                </pic:pic>
              </a:graphicData>
            </a:graphic>
          </wp:inline>
        </w:drawing>
      </w:r>
    </w:p>
    <w:p w:rsidR="0027453B" w:rsidRDefault="0027453B" w:rsidP="00E77756">
      <w:pPr>
        <w:spacing w:after="0" w:line="240" w:lineRule="auto"/>
        <w:jc w:val="both"/>
        <w:rPr>
          <w:rFonts w:ascii="Times New Roman" w:hAnsi="Times New Roman" w:cs="Times New Roman"/>
          <w:sz w:val="24"/>
          <w:szCs w:val="24"/>
        </w:rPr>
      </w:pPr>
    </w:p>
    <w:p w:rsidR="00FF1151" w:rsidRPr="001676E3" w:rsidRDefault="00FF1151" w:rsidP="00D2270B">
      <w:pPr>
        <w:pStyle w:val="Ttulo1"/>
      </w:pPr>
      <w:bookmarkStart w:id="1" w:name="_Toc491958753"/>
      <w:r w:rsidRPr="001676E3">
        <w:t>Revisión de la Red Básica</w:t>
      </w:r>
      <w:bookmarkEnd w:id="1"/>
    </w:p>
    <w:p w:rsidR="00FF1151" w:rsidRDefault="00FF1151" w:rsidP="00E77756">
      <w:pPr>
        <w:spacing w:after="0" w:line="240" w:lineRule="auto"/>
        <w:jc w:val="both"/>
        <w:rPr>
          <w:rFonts w:ascii="Times New Roman" w:hAnsi="Times New Roman" w:cs="Times New Roman"/>
          <w:sz w:val="24"/>
          <w:szCs w:val="24"/>
        </w:rPr>
      </w:pPr>
    </w:p>
    <w:p w:rsidR="001676E3" w:rsidRDefault="001676E3" w:rsidP="001676E3">
      <w:pPr>
        <w:spacing w:after="0" w:line="240" w:lineRule="auto"/>
        <w:jc w:val="both"/>
        <w:rPr>
          <w:rFonts w:ascii="Times New Roman" w:hAnsi="Times New Roman" w:cs="Times New Roman"/>
          <w:sz w:val="24"/>
          <w:szCs w:val="24"/>
        </w:rPr>
      </w:pPr>
      <w:r w:rsidRPr="006C6BCB">
        <w:rPr>
          <w:rFonts w:ascii="Times New Roman" w:hAnsi="Times New Roman" w:cs="Times New Roman"/>
          <w:sz w:val="24"/>
          <w:szCs w:val="24"/>
        </w:rPr>
        <w:t xml:space="preserve">Entre los </w:t>
      </w:r>
      <w:r w:rsidRPr="00456FD1">
        <w:rPr>
          <w:rFonts w:ascii="Times New Roman" w:hAnsi="Times New Roman" w:cs="Times New Roman"/>
          <w:b/>
          <w:sz w:val="24"/>
          <w:szCs w:val="24"/>
        </w:rPr>
        <w:t>objetivos</w:t>
      </w:r>
      <w:r w:rsidRPr="006C6BCB">
        <w:rPr>
          <w:rFonts w:ascii="Times New Roman" w:hAnsi="Times New Roman" w:cs="Times New Roman"/>
          <w:sz w:val="24"/>
          <w:szCs w:val="24"/>
        </w:rPr>
        <w:t xml:space="preserve"> </w:t>
      </w:r>
      <w:r>
        <w:rPr>
          <w:rFonts w:ascii="Times New Roman" w:hAnsi="Times New Roman" w:cs="Times New Roman"/>
          <w:sz w:val="24"/>
          <w:szCs w:val="24"/>
        </w:rPr>
        <w:t>del Reglamento (art. 4) figuran cuatro categorías como son fomentar la cohesión, eficiencia, sostenibilidad y aumento de beneficios a los usuarios. Dentro del segundo, se destaca el objetivo de “</w:t>
      </w:r>
      <w:r w:rsidRPr="006C6BCB">
        <w:rPr>
          <w:rFonts w:ascii="Times New Roman" w:hAnsi="Times New Roman" w:cs="Times New Roman"/>
          <w:sz w:val="24"/>
          <w:szCs w:val="24"/>
        </w:rPr>
        <w:t>integración óptima y la interconexión de todos los modos de transporte</w:t>
      </w:r>
      <w:r>
        <w:rPr>
          <w:rFonts w:ascii="Times New Roman" w:hAnsi="Times New Roman" w:cs="Times New Roman"/>
          <w:sz w:val="24"/>
          <w:szCs w:val="24"/>
        </w:rPr>
        <w:t xml:space="preserve">”. </w:t>
      </w:r>
      <w:r w:rsidRPr="00456FD1">
        <w:rPr>
          <w:rFonts w:ascii="Times New Roman" w:hAnsi="Times New Roman" w:cs="Times New Roman"/>
          <w:b/>
          <w:sz w:val="24"/>
          <w:szCs w:val="24"/>
        </w:rPr>
        <w:t xml:space="preserve">Es crucial entender y compartir estos objetivos puesto que </w:t>
      </w:r>
      <w:proofErr w:type="gramStart"/>
      <w:r w:rsidRPr="00456FD1">
        <w:rPr>
          <w:rFonts w:ascii="Times New Roman" w:hAnsi="Times New Roman" w:cs="Times New Roman"/>
          <w:b/>
          <w:sz w:val="24"/>
          <w:szCs w:val="24"/>
        </w:rPr>
        <w:t>todos proyecto</w:t>
      </w:r>
      <w:proofErr w:type="gramEnd"/>
      <w:r w:rsidRPr="00456FD1">
        <w:rPr>
          <w:rFonts w:ascii="Times New Roman" w:hAnsi="Times New Roman" w:cs="Times New Roman"/>
          <w:b/>
          <w:sz w:val="24"/>
          <w:szCs w:val="24"/>
        </w:rPr>
        <w:t xml:space="preserve"> de interés común “contribuirá a cumplir los objetivos que queden dentro de por lo menos dos de las cuatro categorías”.</w:t>
      </w:r>
      <w:r>
        <w:rPr>
          <w:rFonts w:ascii="Times New Roman" w:hAnsi="Times New Roman" w:cs="Times New Roman"/>
          <w:sz w:val="24"/>
          <w:szCs w:val="24"/>
        </w:rPr>
        <w:t xml:space="preserve"> Además, los proyectos de interés común deberán ser </w:t>
      </w:r>
      <w:r w:rsidRPr="00456FD1">
        <w:rPr>
          <w:rFonts w:ascii="Times New Roman" w:hAnsi="Times New Roman" w:cs="Times New Roman"/>
          <w:b/>
          <w:sz w:val="24"/>
          <w:szCs w:val="24"/>
        </w:rPr>
        <w:t>viables económicamente</w:t>
      </w:r>
      <w:r>
        <w:rPr>
          <w:rFonts w:ascii="Times New Roman" w:hAnsi="Times New Roman" w:cs="Times New Roman"/>
          <w:sz w:val="24"/>
          <w:szCs w:val="24"/>
        </w:rPr>
        <w:t xml:space="preserve">, y deberán demostrar un </w:t>
      </w:r>
      <w:r w:rsidRPr="00456FD1">
        <w:rPr>
          <w:rFonts w:ascii="Times New Roman" w:hAnsi="Times New Roman" w:cs="Times New Roman"/>
          <w:b/>
          <w:sz w:val="24"/>
          <w:szCs w:val="24"/>
        </w:rPr>
        <w:t>valor añadido europeo</w:t>
      </w:r>
      <w:r>
        <w:rPr>
          <w:rFonts w:ascii="Times New Roman" w:hAnsi="Times New Roman" w:cs="Times New Roman"/>
          <w:sz w:val="24"/>
          <w:szCs w:val="24"/>
        </w:rPr>
        <w:t xml:space="preserve"> (art. 7).</w:t>
      </w:r>
    </w:p>
    <w:p w:rsidR="001676E3" w:rsidRDefault="001676E3" w:rsidP="001676E3">
      <w:pPr>
        <w:spacing w:after="0" w:line="240" w:lineRule="auto"/>
        <w:jc w:val="both"/>
        <w:rPr>
          <w:rFonts w:ascii="Times New Roman" w:hAnsi="Times New Roman" w:cs="Times New Roman"/>
          <w:sz w:val="24"/>
          <w:szCs w:val="24"/>
        </w:rPr>
      </w:pPr>
    </w:p>
    <w:p w:rsidR="001754B2" w:rsidRDefault="006C6BCB" w:rsidP="00E77756">
      <w:pPr>
        <w:spacing w:after="0" w:line="240" w:lineRule="auto"/>
        <w:jc w:val="both"/>
        <w:rPr>
          <w:rFonts w:ascii="Times New Roman" w:hAnsi="Times New Roman" w:cs="Times New Roman"/>
          <w:sz w:val="24"/>
          <w:szCs w:val="24"/>
        </w:rPr>
      </w:pPr>
      <w:r w:rsidRPr="00E77756">
        <w:rPr>
          <w:rFonts w:ascii="Times New Roman" w:hAnsi="Times New Roman" w:cs="Times New Roman"/>
          <w:sz w:val="24"/>
          <w:szCs w:val="24"/>
        </w:rPr>
        <w:t xml:space="preserve">A más tardar en </w:t>
      </w:r>
      <w:r w:rsidRPr="001754B2">
        <w:rPr>
          <w:rFonts w:ascii="Times New Roman" w:hAnsi="Times New Roman" w:cs="Times New Roman"/>
          <w:b/>
          <w:sz w:val="24"/>
          <w:szCs w:val="24"/>
        </w:rPr>
        <w:t>2030</w:t>
      </w:r>
      <w:r w:rsidRPr="00E77756">
        <w:rPr>
          <w:rFonts w:ascii="Times New Roman" w:hAnsi="Times New Roman" w:cs="Times New Roman"/>
          <w:sz w:val="24"/>
          <w:szCs w:val="24"/>
        </w:rPr>
        <w:t xml:space="preserve"> debe determinarse la </w:t>
      </w:r>
      <w:r w:rsidRPr="001754B2">
        <w:rPr>
          <w:rFonts w:ascii="Times New Roman" w:hAnsi="Times New Roman" w:cs="Times New Roman"/>
          <w:b/>
          <w:sz w:val="24"/>
          <w:szCs w:val="24"/>
        </w:rPr>
        <w:t>red básica</w:t>
      </w:r>
      <w:r w:rsidRPr="00E77756">
        <w:rPr>
          <w:rFonts w:ascii="Times New Roman" w:hAnsi="Times New Roman" w:cs="Times New Roman"/>
          <w:sz w:val="24"/>
          <w:szCs w:val="24"/>
        </w:rPr>
        <w:t xml:space="preserve"> y deben tomarse las medidas oportunas para desarrollarla con prioridad dentro del marco que ofrecerá la red global. Dicha red básica debe constituir la columna vertebral del desarrollo de una red de transporte multimodal sostenible y fomentar el desarrollo de la totalidad de la red global.</w:t>
      </w:r>
      <w:r w:rsidR="00E77756">
        <w:rPr>
          <w:rFonts w:ascii="Times New Roman" w:hAnsi="Times New Roman" w:cs="Times New Roman"/>
          <w:sz w:val="24"/>
          <w:szCs w:val="24"/>
        </w:rPr>
        <w:t xml:space="preserve"> </w:t>
      </w:r>
    </w:p>
    <w:p w:rsidR="001754B2" w:rsidRDefault="001754B2" w:rsidP="00E77756">
      <w:pPr>
        <w:spacing w:after="0" w:line="240" w:lineRule="auto"/>
        <w:jc w:val="both"/>
        <w:rPr>
          <w:rFonts w:ascii="Times New Roman" w:hAnsi="Times New Roman" w:cs="Times New Roman"/>
          <w:sz w:val="24"/>
          <w:szCs w:val="24"/>
        </w:rPr>
      </w:pPr>
    </w:p>
    <w:p w:rsidR="00456FD1" w:rsidRPr="00E77756" w:rsidRDefault="001754B2"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Comisión está obligada a efectuar una </w:t>
      </w:r>
      <w:r w:rsidRPr="00FF1151">
        <w:rPr>
          <w:rFonts w:ascii="Times New Roman" w:hAnsi="Times New Roman" w:cs="Times New Roman"/>
          <w:b/>
          <w:sz w:val="24"/>
          <w:szCs w:val="24"/>
        </w:rPr>
        <w:t>evaluación de la red básica antes de 31 de diciembre de 2023</w:t>
      </w:r>
      <w:r>
        <w:rPr>
          <w:rFonts w:ascii="Times New Roman" w:hAnsi="Times New Roman" w:cs="Times New Roman"/>
          <w:sz w:val="24"/>
          <w:szCs w:val="24"/>
        </w:rPr>
        <w:t xml:space="preserve"> (art. 38). Dicho examen debe realizarlo previa consulta de los Estados miembros “según proceda” </w:t>
      </w:r>
      <w:r w:rsidR="00136708">
        <w:rPr>
          <w:rFonts w:ascii="Times New Roman" w:hAnsi="Times New Roman" w:cs="Times New Roman"/>
          <w:sz w:val="24"/>
          <w:szCs w:val="24"/>
        </w:rPr>
        <w:t xml:space="preserve">y con la ayuda de los “coordinadores europeos”. En concreto, la Comisión debe </w:t>
      </w:r>
      <w:r w:rsidR="00456FD1">
        <w:rPr>
          <w:rFonts w:ascii="Times New Roman" w:hAnsi="Times New Roman" w:cs="Times New Roman"/>
          <w:sz w:val="24"/>
          <w:szCs w:val="24"/>
        </w:rPr>
        <w:t>evaluar el cumplimiento del Reglamento, progresos, cambios en flujos evolución de inversiones y, sobre todo, “</w:t>
      </w:r>
      <w:r w:rsidR="00456FD1" w:rsidRPr="00456FD1">
        <w:rPr>
          <w:rFonts w:ascii="Times New Roman" w:hAnsi="Times New Roman" w:cs="Times New Roman"/>
          <w:sz w:val="24"/>
          <w:szCs w:val="24"/>
        </w:rPr>
        <w:t>la necesidad de realizar modificac</w:t>
      </w:r>
      <w:r w:rsidR="00456FD1">
        <w:rPr>
          <w:rFonts w:ascii="Times New Roman" w:hAnsi="Times New Roman" w:cs="Times New Roman"/>
          <w:sz w:val="24"/>
          <w:szCs w:val="24"/>
        </w:rPr>
        <w:t xml:space="preserve">iones en el presente Reglamento”. La </w:t>
      </w:r>
      <w:r w:rsidR="00456FD1" w:rsidRPr="00456FD1">
        <w:rPr>
          <w:rFonts w:ascii="Times New Roman" w:hAnsi="Times New Roman" w:cs="Times New Roman"/>
          <w:sz w:val="24"/>
          <w:szCs w:val="24"/>
        </w:rPr>
        <w:t>Comisión, en cooperación con los Estados miembros, evaluará si deben incluirse nuevos tramos en la red básica,</w:t>
      </w:r>
      <w:r w:rsidR="00456FD1">
        <w:rPr>
          <w:rFonts w:ascii="Times New Roman" w:hAnsi="Times New Roman" w:cs="Times New Roman"/>
          <w:sz w:val="24"/>
          <w:szCs w:val="24"/>
        </w:rPr>
        <w:t xml:space="preserve"> y, </w:t>
      </w:r>
      <w:r w:rsidR="00456FD1" w:rsidRPr="00456FD1">
        <w:rPr>
          <w:rFonts w:ascii="Times New Roman" w:hAnsi="Times New Roman" w:cs="Times New Roman"/>
          <w:b/>
          <w:sz w:val="24"/>
          <w:szCs w:val="24"/>
        </w:rPr>
        <w:t>si procede, la Comisión presentará una propuesta legislativa al respecto</w:t>
      </w:r>
      <w:r w:rsidR="00456FD1" w:rsidRPr="00456FD1">
        <w:rPr>
          <w:rFonts w:ascii="Times New Roman" w:hAnsi="Times New Roman" w:cs="Times New Roman"/>
          <w:sz w:val="24"/>
          <w:szCs w:val="24"/>
        </w:rPr>
        <w:t>.</w:t>
      </w:r>
      <w:r w:rsidR="00456FD1">
        <w:rPr>
          <w:rFonts w:ascii="Times New Roman" w:hAnsi="Times New Roman" w:cs="Times New Roman"/>
          <w:sz w:val="24"/>
          <w:szCs w:val="24"/>
        </w:rPr>
        <w:t xml:space="preserve"> Asimismo, l</w:t>
      </w:r>
      <w:r w:rsidR="00456FD1" w:rsidRPr="00456FD1">
        <w:rPr>
          <w:rFonts w:ascii="Times New Roman" w:hAnsi="Times New Roman" w:cs="Times New Roman"/>
          <w:sz w:val="24"/>
          <w:szCs w:val="24"/>
        </w:rPr>
        <w:t xml:space="preserve">a Comisión </w:t>
      </w:r>
      <w:proofErr w:type="gramStart"/>
      <w:r w:rsidR="00456FD1" w:rsidRPr="00456FD1">
        <w:rPr>
          <w:rFonts w:ascii="Times New Roman" w:hAnsi="Times New Roman" w:cs="Times New Roman"/>
          <w:sz w:val="24"/>
          <w:szCs w:val="24"/>
        </w:rPr>
        <w:t>evaluará</w:t>
      </w:r>
      <w:proofErr w:type="gramEnd"/>
      <w:r w:rsidR="00456FD1" w:rsidRPr="00456FD1">
        <w:rPr>
          <w:rFonts w:ascii="Times New Roman" w:hAnsi="Times New Roman" w:cs="Times New Roman"/>
          <w:sz w:val="24"/>
          <w:szCs w:val="24"/>
        </w:rPr>
        <w:t xml:space="preserve"> asimismo, en consulta con los Estados miembros, si la red básica debe modificarse para tener en cuenta </w:t>
      </w:r>
      <w:r w:rsidR="00456FD1" w:rsidRPr="00456FD1">
        <w:rPr>
          <w:rFonts w:ascii="Times New Roman" w:hAnsi="Times New Roman" w:cs="Times New Roman"/>
          <w:sz w:val="24"/>
          <w:szCs w:val="24"/>
        </w:rPr>
        <w:lastRenderedPageBreak/>
        <w:t>la evolución de los flujos del transporte y la planificación nacional de inversiones</w:t>
      </w:r>
      <w:r w:rsidR="00456FD1">
        <w:rPr>
          <w:rFonts w:ascii="Times New Roman" w:hAnsi="Times New Roman" w:cs="Times New Roman"/>
          <w:sz w:val="24"/>
          <w:szCs w:val="24"/>
        </w:rPr>
        <w:t xml:space="preserve">. También aquí, en </w:t>
      </w:r>
      <w:r w:rsidR="00456FD1" w:rsidRPr="00456FD1">
        <w:rPr>
          <w:rFonts w:ascii="Times New Roman" w:hAnsi="Times New Roman" w:cs="Times New Roman"/>
          <w:sz w:val="24"/>
          <w:szCs w:val="24"/>
        </w:rPr>
        <w:t xml:space="preserve">caso necesario, </w:t>
      </w:r>
      <w:r w:rsidR="00456FD1" w:rsidRPr="00456FD1">
        <w:rPr>
          <w:rFonts w:ascii="Times New Roman" w:hAnsi="Times New Roman" w:cs="Times New Roman"/>
          <w:b/>
          <w:sz w:val="24"/>
          <w:szCs w:val="24"/>
        </w:rPr>
        <w:t>la Comisión podrá presentar una propuesta de modificación del presente Reglamento</w:t>
      </w:r>
      <w:r w:rsidR="00456FD1" w:rsidRPr="00456FD1">
        <w:rPr>
          <w:rFonts w:ascii="Times New Roman" w:hAnsi="Times New Roman" w:cs="Times New Roman"/>
          <w:sz w:val="24"/>
          <w:szCs w:val="24"/>
        </w:rPr>
        <w:t>.</w:t>
      </w:r>
      <w:r w:rsidR="00456FD1">
        <w:rPr>
          <w:rFonts w:ascii="Times New Roman" w:hAnsi="Times New Roman" w:cs="Times New Roman"/>
          <w:sz w:val="24"/>
          <w:szCs w:val="24"/>
        </w:rPr>
        <w:t xml:space="preserve"> </w:t>
      </w:r>
    </w:p>
    <w:p w:rsidR="006C6BCB" w:rsidRDefault="006C6BCB" w:rsidP="00E77756">
      <w:pPr>
        <w:spacing w:after="0" w:line="240" w:lineRule="auto"/>
        <w:jc w:val="both"/>
        <w:rPr>
          <w:rFonts w:ascii="Times New Roman" w:hAnsi="Times New Roman" w:cs="Times New Roman"/>
          <w:sz w:val="24"/>
          <w:szCs w:val="24"/>
        </w:rPr>
      </w:pPr>
    </w:p>
    <w:p w:rsidR="00412CD5" w:rsidRPr="004A1DB9" w:rsidRDefault="00412CD5" w:rsidP="00D2270B">
      <w:pPr>
        <w:pStyle w:val="Ttulo1"/>
      </w:pPr>
      <w:bookmarkStart w:id="2" w:name="_Toc491958754"/>
      <w:r w:rsidRPr="004A1DB9">
        <w:t>Financiación UE</w:t>
      </w:r>
      <w:bookmarkEnd w:id="2"/>
    </w:p>
    <w:p w:rsidR="006C6BCB" w:rsidRDefault="006C6BCB" w:rsidP="00E77756">
      <w:pPr>
        <w:spacing w:after="0" w:line="240" w:lineRule="auto"/>
        <w:jc w:val="both"/>
        <w:rPr>
          <w:rFonts w:ascii="Times New Roman" w:hAnsi="Times New Roman" w:cs="Times New Roman"/>
          <w:sz w:val="24"/>
          <w:szCs w:val="24"/>
        </w:rPr>
      </w:pPr>
    </w:p>
    <w:p w:rsidR="005F4630" w:rsidRDefault="00412CD5"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UE ofrece varios instrumentos financieros. El </w:t>
      </w:r>
      <w:hyperlink r:id="rId10" w:history="1">
        <w:r w:rsidRPr="00412CD5">
          <w:rPr>
            <w:rStyle w:val="Hipervnculo"/>
            <w:rFonts w:ascii="Times New Roman" w:hAnsi="Times New Roman" w:cs="Times New Roman"/>
            <w:sz w:val="24"/>
            <w:szCs w:val="24"/>
          </w:rPr>
          <w:t>Reglamento (UE) 1316/2013</w:t>
        </w:r>
      </w:hyperlink>
      <w:r w:rsidRPr="00412CD5">
        <w:rPr>
          <w:rFonts w:ascii="Times New Roman" w:hAnsi="Times New Roman" w:cs="Times New Roman"/>
          <w:sz w:val="24"/>
          <w:szCs w:val="24"/>
        </w:rPr>
        <w:t xml:space="preserve">, crea el </w:t>
      </w:r>
      <w:r w:rsidRPr="00FC557C">
        <w:rPr>
          <w:rFonts w:ascii="Times New Roman" w:hAnsi="Times New Roman" w:cs="Times New Roman"/>
          <w:b/>
          <w:sz w:val="24"/>
          <w:szCs w:val="24"/>
        </w:rPr>
        <w:t>Mecanismo «Conectar Europa» (MCE)</w:t>
      </w:r>
      <w:r>
        <w:rPr>
          <w:rFonts w:ascii="Times New Roman" w:hAnsi="Times New Roman" w:cs="Times New Roman"/>
          <w:sz w:val="24"/>
          <w:szCs w:val="24"/>
        </w:rPr>
        <w:t xml:space="preserve">. </w:t>
      </w:r>
      <w:r w:rsidR="00FC557C">
        <w:rPr>
          <w:rFonts w:ascii="Times New Roman" w:hAnsi="Times New Roman" w:cs="Times New Roman"/>
          <w:sz w:val="24"/>
          <w:szCs w:val="24"/>
        </w:rPr>
        <w:t xml:space="preserve">Con presupuesto para el periodo 2014-2020 </w:t>
      </w:r>
      <w:r w:rsidRPr="00412CD5">
        <w:rPr>
          <w:rFonts w:ascii="Times New Roman" w:hAnsi="Times New Roman" w:cs="Times New Roman"/>
          <w:sz w:val="24"/>
          <w:szCs w:val="24"/>
        </w:rPr>
        <w:t>determina las condiciones, métodos y procedimientos para proporcionar ayuda financiera de la Unión a las redes transeuropeas a fin de apoyar proyectos de interés común en el sector de las infraestructuras de transporte</w:t>
      </w:r>
      <w:r>
        <w:rPr>
          <w:rFonts w:ascii="Times New Roman" w:hAnsi="Times New Roman" w:cs="Times New Roman"/>
          <w:sz w:val="24"/>
          <w:szCs w:val="24"/>
        </w:rPr>
        <w:t xml:space="preserve"> (además de telecomunicaciones y energía). El objetivo es “</w:t>
      </w:r>
      <w:r w:rsidRPr="00412CD5">
        <w:rPr>
          <w:rFonts w:ascii="Times New Roman" w:hAnsi="Times New Roman" w:cs="Times New Roman"/>
          <w:sz w:val="24"/>
          <w:szCs w:val="24"/>
        </w:rPr>
        <w:t>eliminar los cuellos de botella, mejorar la interoperabilidad del transporte, realizar conexiones donde no existan y, en particular, mejorar los tramos transfronterizos</w:t>
      </w:r>
      <w:r>
        <w:rPr>
          <w:rFonts w:ascii="Times New Roman" w:hAnsi="Times New Roman" w:cs="Times New Roman"/>
          <w:sz w:val="24"/>
          <w:szCs w:val="24"/>
        </w:rPr>
        <w:t xml:space="preserve">” (art. 4). El presupuesto para el sector del transporte es de 26 mil millones €, si bien 11 mil millones se transfieren a países destinatarios de fondos de cohesión. En cuanto a porcentajes de </w:t>
      </w:r>
      <w:r w:rsidR="0027721C">
        <w:rPr>
          <w:rFonts w:ascii="Times New Roman" w:hAnsi="Times New Roman" w:cs="Times New Roman"/>
          <w:sz w:val="24"/>
          <w:szCs w:val="24"/>
        </w:rPr>
        <w:t xml:space="preserve">financiación, </w:t>
      </w:r>
      <w:r w:rsidR="005F4630" w:rsidRPr="00412CD5">
        <w:rPr>
          <w:rFonts w:ascii="Times New Roman" w:hAnsi="Times New Roman" w:cs="Times New Roman"/>
          <w:sz w:val="24"/>
          <w:szCs w:val="24"/>
        </w:rPr>
        <w:t>para redes de ferrocarril y de carretera en el caso de los Estados miembros sin redes ferroviarias en su territorio o en caso de un Estado miembro, o de una parte de un Estado miembro, con una red aislada y sin transporte de mercancías por ferrocarril de larga distancia: del 20 % de los costes subvencionables; el porcentaje de financiación podrá ascender al 30 % como máximo en el caso de acciones para resolver cuellos de botella; y al 40 % en el caso de acciones relativas a tramos transfronterizos y acciones de refuerzo de la interoperabilidad del transporte ferroviario</w:t>
      </w:r>
      <w:r w:rsidR="0027721C">
        <w:rPr>
          <w:rFonts w:ascii="Times New Roman" w:hAnsi="Times New Roman" w:cs="Times New Roman"/>
          <w:sz w:val="24"/>
          <w:szCs w:val="24"/>
        </w:rPr>
        <w:t xml:space="preserve"> (art. 10). Lo malo es que son mayormente subvencionables aquellas que se encuentran dentro de la red básica que se encuentran </w:t>
      </w:r>
      <w:r w:rsidR="0027721C" w:rsidRPr="0027721C">
        <w:rPr>
          <w:rFonts w:ascii="Times New Roman" w:hAnsi="Times New Roman" w:cs="Times New Roman"/>
          <w:sz w:val="24"/>
          <w:szCs w:val="24"/>
        </w:rPr>
        <w:t xml:space="preserve">indicados en la </w:t>
      </w:r>
      <w:r w:rsidR="0027721C">
        <w:rPr>
          <w:rFonts w:ascii="Times New Roman" w:hAnsi="Times New Roman" w:cs="Times New Roman"/>
          <w:sz w:val="24"/>
          <w:szCs w:val="24"/>
        </w:rPr>
        <w:t>“</w:t>
      </w:r>
      <w:r w:rsidR="0027721C" w:rsidRPr="0027721C">
        <w:rPr>
          <w:rFonts w:ascii="Times New Roman" w:hAnsi="Times New Roman" w:cs="Times New Roman"/>
          <w:sz w:val="24"/>
          <w:szCs w:val="24"/>
        </w:rPr>
        <w:t>parte I del anexo I del presente Reglamento</w:t>
      </w:r>
      <w:r w:rsidR="0027721C">
        <w:rPr>
          <w:rFonts w:ascii="Times New Roman" w:hAnsi="Times New Roman" w:cs="Times New Roman"/>
          <w:sz w:val="24"/>
          <w:szCs w:val="24"/>
        </w:rPr>
        <w:t>” (art. 7). El tramo “</w:t>
      </w:r>
      <w:r w:rsidR="0027721C" w:rsidRPr="0027721C">
        <w:rPr>
          <w:rFonts w:ascii="Times New Roman" w:hAnsi="Times New Roman" w:cs="Times New Roman"/>
          <w:sz w:val="24"/>
          <w:szCs w:val="24"/>
        </w:rPr>
        <w:t>Bilbao – Pamplona – Zaragoza – Sagunto</w:t>
      </w:r>
      <w:r w:rsidR="0027721C">
        <w:rPr>
          <w:rFonts w:ascii="Times New Roman" w:hAnsi="Times New Roman" w:cs="Times New Roman"/>
          <w:sz w:val="24"/>
          <w:szCs w:val="24"/>
        </w:rPr>
        <w:t>” figura en el Anexo I.3.</w:t>
      </w:r>
      <w:r w:rsidR="00FC557C">
        <w:rPr>
          <w:rFonts w:ascii="Times New Roman" w:hAnsi="Times New Roman" w:cs="Times New Roman"/>
          <w:sz w:val="24"/>
          <w:szCs w:val="24"/>
        </w:rPr>
        <w:t xml:space="preserve"> </w:t>
      </w:r>
    </w:p>
    <w:p w:rsidR="0027721C" w:rsidRDefault="0027721C" w:rsidP="00E77756">
      <w:pPr>
        <w:spacing w:after="0" w:line="240" w:lineRule="auto"/>
        <w:jc w:val="both"/>
        <w:rPr>
          <w:rFonts w:ascii="Times New Roman" w:hAnsi="Times New Roman" w:cs="Times New Roman"/>
          <w:sz w:val="24"/>
          <w:szCs w:val="24"/>
        </w:rPr>
      </w:pPr>
    </w:p>
    <w:p w:rsidR="0027721C" w:rsidRDefault="004A1DB9" w:rsidP="00E77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Existen</w:t>
      </w:r>
      <w:r w:rsidR="000E7946">
        <w:rPr>
          <w:rFonts w:ascii="Times New Roman" w:hAnsi="Times New Roman" w:cs="Times New Roman"/>
          <w:sz w:val="24"/>
          <w:szCs w:val="24"/>
        </w:rPr>
        <w:t xml:space="preserve"> otras medidas de financiación o instrumentos financieros </w:t>
      </w:r>
      <w:r w:rsidR="00B72B8B">
        <w:rPr>
          <w:rFonts w:ascii="Times New Roman" w:hAnsi="Times New Roman" w:cs="Times New Roman"/>
          <w:sz w:val="24"/>
          <w:szCs w:val="24"/>
        </w:rPr>
        <w:t>en los que interviene el Banco Europeo de Inversiones, (</w:t>
      </w:r>
      <w:hyperlink r:id="rId11" w:history="1">
        <w:r w:rsidR="00B72B8B" w:rsidRPr="00B72B8B">
          <w:rPr>
            <w:rStyle w:val="Hipervnculo"/>
            <w:rFonts w:ascii="Times New Roman" w:hAnsi="Times New Roman" w:cs="Times New Roman"/>
            <w:sz w:val="24"/>
            <w:szCs w:val="24"/>
          </w:rPr>
          <w:t>Reglamento 670/2012</w:t>
        </w:r>
      </w:hyperlink>
      <w:r w:rsidR="00B72B8B">
        <w:rPr>
          <w:rFonts w:ascii="Times New Roman" w:hAnsi="Times New Roman" w:cs="Times New Roman"/>
          <w:sz w:val="24"/>
          <w:szCs w:val="24"/>
        </w:rPr>
        <w:t xml:space="preserve"> o </w:t>
      </w:r>
      <w:hyperlink r:id="rId12" w:history="1">
        <w:r w:rsidR="00B72B8B" w:rsidRPr="00B72B8B">
          <w:rPr>
            <w:rStyle w:val="Hipervnculo"/>
            <w:rFonts w:ascii="Times New Roman" w:hAnsi="Times New Roman" w:cs="Times New Roman"/>
            <w:sz w:val="24"/>
            <w:szCs w:val="24"/>
          </w:rPr>
          <w:t>Reglamento 2015/1017</w:t>
        </w:r>
      </w:hyperlink>
      <w:r w:rsidR="00B72B8B">
        <w:rPr>
          <w:rFonts w:ascii="Times New Roman" w:hAnsi="Times New Roman" w:cs="Times New Roman"/>
          <w:sz w:val="24"/>
          <w:szCs w:val="24"/>
        </w:rPr>
        <w:t>) que no se desarrollan en este informe.</w:t>
      </w:r>
    </w:p>
    <w:p w:rsidR="0027721C" w:rsidRDefault="0027721C" w:rsidP="00E77756">
      <w:pPr>
        <w:spacing w:after="0" w:line="240" w:lineRule="auto"/>
        <w:jc w:val="both"/>
        <w:rPr>
          <w:rFonts w:ascii="Times New Roman" w:hAnsi="Times New Roman" w:cs="Times New Roman"/>
          <w:sz w:val="24"/>
          <w:szCs w:val="24"/>
        </w:rPr>
      </w:pPr>
    </w:p>
    <w:p w:rsidR="00D2270B" w:rsidRDefault="00D2270B" w:rsidP="00D2270B">
      <w:pPr>
        <w:pStyle w:val="Ttulo1"/>
      </w:pPr>
      <w:bookmarkStart w:id="3" w:name="_Toc491958755"/>
      <w:r>
        <w:t>Links de interés</w:t>
      </w:r>
      <w:bookmarkEnd w:id="3"/>
    </w:p>
    <w:p w:rsidR="0027721C" w:rsidRDefault="0027721C" w:rsidP="00E77756">
      <w:pPr>
        <w:spacing w:after="0" w:line="240" w:lineRule="auto"/>
        <w:jc w:val="both"/>
        <w:rPr>
          <w:rFonts w:ascii="Times New Roman" w:hAnsi="Times New Roman" w:cs="Times New Roman"/>
          <w:sz w:val="24"/>
          <w:szCs w:val="24"/>
        </w:rPr>
      </w:pPr>
    </w:p>
    <w:p w:rsidR="004A1DB9" w:rsidRDefault="00AC36A5" w:rsidP="00E77756">
      <w:pPr>
        <w:spacing w:after="0" w:line="240" w:lineRule="auto"/>
        <w:jc w:val="both"/>
        <w:rPr>
          <w:rFonts w:ascii="Times New Roman" w:hAnsi="Times New Roman" w:cs="Times New Roman"/>
          <w:sz w:val="24"/>
          <w:szCs w:val="24"/>
        </w:rPr>
      </w:pPr>
      <w:hyperlink r:id="rId13" w:history="1">
        <w:r w:rsidRPr="00031105">
          <w:rPr>
            <w:rStyle w:val="Hipervnculo"/>
            <w:rFonts w:ascii="Times New Roman" w:hAnsi="Times New Roman" w:cs="Times New Roman"/>
            <w:sz w:val="24"/>
            <w:szCs w:val="24"/>
          </w:rPr>
          <w:t>http://ec.europa.eu/transport/infrastructure/tentec/tentec-portal/map/mobile.html</w:t>
        </w:r>
      </w:hyperlink>
      <w:r>
        <w:rPr>
          <w:rFonts w:ascii="Times New Roman" w:hAnsi="Times New Roman" w:cs="Times New Roman"/>
          <w:sz w:val="24"/>
          <w:szCs w:val="24"/>
        </w:rPr>
        <w:t xml:space="preserve"> </w:t>
      </w:r>
      <w:bookmarkStart w:id="4" w:name="_GoBack"/>
      <w:bookmarkEnd w:id="4"/>
    </w:p>
    <w:p w:rsidR="004A1DB9" w:rsidRDefault="004A1DB9" w:rsidP="00E77756">
      <w:pPr>
        <w:spacing w:after="0" w:line="240" w:lineRule="auto"/>
        <w:jc w:val="both"/>
        <w:rPr>
          <w:rFonts w:ascii="Times New Roman" w:hAnsi="Times New Roman" w:cs="Times New Roman"/>
          <w:sz w:val="24"/>
          <w:szCs w:val="24"/>
        </w:rPr>
      </w:pPr>
    </w:p>
    <w:p w:rsidR="004A1DB9" w:rsidRPr="00AC36A5" w:rsidRDefault="00AC36A5" w:rsidP="004A1DB9">
      <w:pPr>
        <w:spacing w:after="0" w:line="240" w:lineRule="auto"/>
        <w:rPr>
          <w:rFonts w:ascii="Times New Roman" w:hAnsi="Times New Roman" w:cs="Times New Roman"/>
          <w:sz w:val="24"/>
          <w:szCs w:val="24"/>
        </w:rPr>
      </w:pPr>
      <w:hyperlink r:id="rId14" w:history="1">
        <w:r w:rsidRPr="00AC36A5">
          <w:rPr>
            <w:rStyle w:val="Hipervnculo"/>
            <w:rFonts w:ascii="Times New Roman" w:hAnsi="Times New Roman" w:cs="Times New Roman"/>
            <w:sz w:val="24"/>
            <w:szCs w:val="24"/>
          </w:rPr>
          <w:t>https://ec.europa.eu/transport/themes/infrastructure_en</w:t>
        </w:r>
      </w:hyperlink>
      <w:r w:rsidRPr="00AC36A5">
        <w:rPr>
          <w:rFonts w:ascii="Times New Roman" w:hAnsi="Times New Roman" w:cs="Times New Roman"/>
          <w:sz w:val="24"/>
          <w:szCs w:val="24"/>
        </w:rPr>
        <w:t xml:space="preserve"> </w:t>
      </w:r>
    </w:p>
    <w:p w:rsidR="004A1DB9" w:rsidRPr="00AC36A5" w:rsidRDefault="004A1DB9" w:rsidP="00E77756">
      <w:pPr>
        <w:spacing w:after="0" w:line="240" w:lineRule="auto"/>
        <w:jc w:val="both"/>
        <w:rPr>
          <w:rFonts w:ascii="Times New Roman" w:hAnsi="Times New Roman" w:cs="Times New Roman"/>
          <w:sz w:val="24"/>
          <w:szCs w:val="24"/>
        </w:rPr>
      </w:pPr>
    </w:p>
    <w:p w:rsidR="00E77756" w:rsidRPr="00AC36A5" w:rsidRDefault="00AC36A5" w:rsidP="00E77756">
      <w:pPr>
        <w:spacing w:after="0" w:line="240" w:lineRule="auto"/>
        <w:jc w:val="both"/>
        <w:rPr>
          <w:rFonts w:ascii="Times New Roman" w:hAnsi="Times New Roman" w:cs="Times New Roman"/>
          <w:sz w:val="24"/>
          <w:szCs w:val="24"/>
          <w:lang w:val="fr-BE"/>
        </w:rPr>
      </w:pPr>
      <w:hyperlink r:id="rId15" w:history="1">
        <w:r w:rsidRPr="00AC36A5">
          <w:rPr>
            <w:rStyle w:val="Hipervnculo"/>
            <w:rFonts w:ascii="Times New Roman" w:hAnsi="Times New Roman" w:cs="Times New Roman"/>
            <w:sz w:val="24"/>
            <w:szCs w:val="24"/>
            <w:lang w:val="fr-BE"/>
          </w:rPr>
          <w:t>http://fomento.es/MFOM/LANG_CASTELLANO/_ESPECIALES/FITE/DOC/</w:t>
        </w:r>
      </w:hyperlink>
      <w:r w:rsidRPr="00AC36A5">
        <w:rPr>
          <w:rFonts w:ascii="Times New Roman" w:hAnsi="Times New Roman" w:cs="Times New Roman"/>
          <w:sz w:val="24"/>
          <w:szCs w:val="24"/>
          <w:lang w:val="fr-BE"/>
        </w:rPr>
        <w:t xml:space="preserve"> </w:t>
      </w:r>
    </w:p>
    <w:p w:rsidR="00F72871" w:rsidRPr="00AC36A5" w:rsidRDefault="00F72871" w:rsidP="00E77756">
      <w:pPr>
        <w:spacing w:after="0" w:line="240" w:lineRule="auto"/>
        <w:jc w:val="both"/>
        <w:rPr>
          <w:rFonts w:ascii="Times New Roman" w:hAnsi="Times New Roman" w:cs="Times New Roman"/>
          <w:sz w:val="24"/>
          <w:szCs w:val="24"/>
          <w:lang w:val="fr-BE"/>
        </w:rPr>
      </w:pPr>
    </w:p>
    <w:p w:rsidR="00F72871" w:rsidRPr="00AC36A5" w:rsidRDefault="00F72871" w:rsidP="00E77756">
      <w:pPr>
        <w:spacing w:after="0" w:line="240" w:lineRule="auto"/>
        <w:jc w:val="both"/>
        <w:rPr>
          <w:rFonts w:ascii="Times New Roman" w:hAnsi="Times New Roman" w:cs="Times New Roman"/>
          <w:sz w:val="24"/>
          <w:szCs w:val="24"/>
          <w:lang w:val="fr-BE"/>
        </w:rPr>
      </w:pPr>
    </w:p>
    <w:p w:rsidR="00F72871" w:rsidRPr="00AC36A5" w:rsidRDefault="00F72871" w:rsidP="00E77756">
      <w:pPr>
        <w:spacing w:after="0" w:line="240" w:lineRule="auto"/>
        <w:jc w:val="both"/>
        <w:rPr>
          <w:rFonts w:ascii="Times New Roman" w:hAnsi="Times New Roman" w:cs="Times New Roman"/>
          <w:sz w:val="24"/>
          <w:szCs w:val="24"/>
          <w:lang w:val="fr-BE"/>
        </w:rPr>
      </w:pPr>
    </w:p>
    <w:p w:rsidR="00F72871" w:rsidRPr="00AC36A5" w:rsidRDefault="00F72871" w:rsidP="00E77756">
      <w:pPr>
        <w:spacing w:after="0" w:line="240" w:lineRule="auto"/>
        <w:jc w:val="both"/>
        <w:rPr>
          <w:rFonts w:ascii="Times New Roman" w:hAnsi="Times New Roman" w:cs="Times New Roman"/>
          <w:sz w:val="24"/>
          <w:szCs w:val="24"/>
          <w:lang w:val="fr-BE"/>
        </w:rPr>
      </w:pPr>
    </w:p>
    <w:p w:rsidR="00F72871" w:rsidRPr="00AC36A5" w:rsidRDefault="00F72871" w:rsidP="00E77756">
      <w:pPr>
        <w:spacing w:after="0" w:line="240" w:lineRule="auto"/>
        <w:jc w:val="both"/>
        <w:rPr>
          <w:rFonts w:ascii="Times New Roman" w:hAnsi="Times New Roman" w:cs="Times New Roman"/>
          <w:sz w:val="24"/>
          <w:szCs w:val="24"/>
          <w:lang w:val="fr-BE"/>
        </w:rPr>
      </w:pPr>
    </w:p>
    <w:sectPr w:rsidR="00F72871" w:rsidRPr="00AC36A5">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4BE" w:rsidRDefault="002D44BE" w:rsidP="00293E28">
      <w:pPr>
        <w:spacing w:after="0" w:line="240" w:lineRule="auto"/>
      </w:pPr>
      <w:r>
        <w:separator/>
      </w:r>
    </w:p>
  </w:endnote>
  <w:endnote w:type="continuationSeparator" w:id="0">
    <w:p w:rsidR="002D44BE" w:rsidRDefault="002D44BE" w:rsidP="0029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B72B8B" w:rsidRPr="00B72B8B" w:rsidTr="00C24B1C">
      <w:trPr>
        <w:jc w:val="center"/>
      </w:trPr>
      <w:tc>
        <w:tcPr>
          <w:tcW w:w="2881" w:type="dxa"/>
          <w:vAlign w:val="bottom"/>
        </w:tcPr>
        <w:p w:rsidR="00B72B8B" w:rsidRPr="00DC69AD" w:rsidRDefault="00B72B8B" w:rsidP="00B72B8B">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rsidR="00B72B8B" w:rsidRPr="00DC69AD" w:rsidRDefault="00B72B8B" w:rsidP="00B72B8B">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B72B8B" w:rsidRPr="002802E5" w:rsidRDefault="00B72B8B" w:rsidP="00B72B8B">
          <w:pPr>
            <w:pStyle w:val="Piedepgina"/>
            <w:jc w:val="center"/>
            <w:rPr>
              <w:b/>
              <w:i/>
              <w:sz w:val="18"/>
              <w:szCs w:val="18"/>
            </w:rPr>
          </w:pPr>
          <w:r w:rsidRPr="002802E5">
            <w:rPr>
              <w:b/>
              <w:i/>
              <w:noProof/>
              <w:sz w:val="18"/>
              <w:szCs w:val="18"/>
            </w:rPr>
            <w:drawing>
              <wp:inline distT="0" distB="0" distL="0" distR="0" wp14:anchorId="2C36BCF5" wp14:editId="4AFBDD71">
                <wp:extent cx="951124" cy="261295"/>
                <wp:effectExtent l="0" t="0" r="190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B72B8B" w:rsidRPr="00DC69AD" w:rsidRDefault="00B72B8B" w:rsidP="00B72B8B">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B72B8B" w:rsidRPr="002802E5" w:rsidRDefault="00B72B8B" w:rsidP="00B72B8B">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rsidR="00B72B8B" w:rsidRPr="00B72B8B" w:rsidRDefault="00B72B8B">
    <w:pPr>
      <w:pStyle w:val="Piedepgina"/>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4BE" w:rsidRDefault="002D44BE" w:rsidP="00293E28">
      <w:pPr>
        <w:spacing w:after="0" w:line="240" w:lineRule="auto"/>
      </w:pPr>
      <w:r>
        <w:separator/>
      </w:r>
    </w:p>
  </w:footnote>
  <w:footnote w:type="continuationSeparator" w:id="0">
    <w:p w:rsidR="002D44BE" w:rsidRDefault="002D44BE" w:rsidP="00293E28">
      <w:pPr>
        <w:spacing w:after="0" w:line="240" w:lineRule="auto"/>
      </w:pPr>
      <w:r>
        <w:continuationSeparator/>
      </w:r>
    </w:p>
  </w:footnote>
  <w:footnote w:id="1">
    <w:p w:rsidR="000B29D4" w:rsidRDefault="000B29D4">
      <w:pPr>
        <w:pStyle w:val="Textonotapie"/>
      </w:pPr>
      <w:r>
        <w:rPr>
          <w:rStyle w:val="Refdenotaalpie"/>
        </w:rPr>
        <w:footnoteRef/>
      </w:r>
      <w:r>
        <w:t xml:space="preserve"> Ver Atlántico </w:t>
      </w:r>
      <w:hyperlink r:id="rId1" w:history="1">
        <w:r w:rsidRPr="00031105">
          <w:rPr>
            <w:rStyle w:val="Hipervnculo"/>
          </w:rPr>
          <w:t>https://ec.europa.eu/transport/themes/infrastructure/atlantic_en</w:t>
        </w:r>
      </w:hyperlink>
      <w:r>
        <w:t xml:space="preserve"> </w:t>
      </w:r>
    </w:p>
  </w:footnote>
  <w:footnote w:id="2">
    <w:p w:rsidR="00406E68" w:rsidRDefault="00406E68" w:rsidP="00412CD5">
      <w:pPr>
        <w:pStyle w:val="Textonotapie"/>
        <w:jc w:val="both"/>
      </w:pPr>
      <w:r>
        <w:rPr>
          <w:rStyle w:val="Refdenotaalpie"/>
        </w:rPr>
        <w:footnoteRef/>
      </w:r>
      <w:r>
        <w:t xml:space="preserve"> Coordinador Corredor Mediterráneo, Laurens Jan </w:t>
      </w:r>
      <w:proofErr w:type="spellStart"/>
      <w:r>
        <w:t>Brinkhorst</w:t>
      </w:r>
      <w:proofErr w:type="spellEnd"/>
      <w:r>
        <w:t xml:space="preserve">. Coordinador corredor Atlántico, Carlo </w:t>
      </w:r>
      <w:proofErr w:type="spellStart"/>
      <w:r>
        <w:t>Sechhi</w:t>
      </w:r>
      <w:proofErr w:type="spellEnd"/>
      <w:r w:rsidR="00412CD5">
        <w:t xml:space="preserve"> (ver </w:t>
      </w:r>
      <w:hyperlink r:id="rId2" w:history="1">
        <w:r w:rsidR="00412CD5" w:rsidRPr="00412CD5">
          <w:rPr>
            <w:rStyle w:val="Hipervnculo"/>
          </w:rPr>
          <w:t>link</w:t>
        </w:r>
      </w:hyperlink>
      <w:r w:rsidR="00412CD5">
        <w:t>)</w:t>
      </w:r>
      <w:r>
        <w:t>.</w:t>
      </w:r>
      <w:r w:rsidR="00A63DF3">
        <w:t xml:space="preserve"> </w:t>
      </w:r>
      <w:r w:rsidR="00412CD5" w:rsidRPr="00412CD5">
        <w:t xml:space="preserve">Los corredores de la red básica deben estar en consonancia con los corredores ferroviarios de mercancías creados de conformidad con el Reglamento (UE) no </w:t>
      </w:r>
      <w:hyperlink r:id="rId3" w:history="1">
        <w:r w:rsidR="00412CD5" w:rsidRPr="00412CD5">
          <w:rPr>
            <w:rStyle w:val="Hipervnculo"/>
          </w:rPr>
          <w:t>913/2010</w:t>
        </w:r>
      </w:hyperlink>
      <w:r w:rsidR="00412CD5" w:rsidRPr="00412CD5">
        <w:t>, que ya define Madrid /Bilbao/San Sebastián-Irún-Burdeos-París, como ruta inicial de corredores de mercancías.</w:t>
      </w:r>
    </w:p>
  </w:footnote>
  <w:footnote w:id="3">
    <w:p w:rsidR="000B29D4" w:rsidRDefault="000B29D4">
      <w:pPr>
        <w:pStyle w:val="Textonotapie"/>
      </w:pPr>
      <w:r>
        <w:rPr>
          <w:rStyle w:val="Refdenotaalpie"/>
        </w:rPr>
        <w:footnoteRef/>
      </w:r>
      <w:r>
        <w:t xml:space="preserve"> </w:t>
      </w:r>
      <w:hyperlink r:id="rId4" w:history="1">
        <w:r w:rsidRPr="00031105">
          <w:rPr>
            <w:rStyle w:val="Hipervnculo"/>
          </w:rPr>
          <w:t>https://ec.europa.eu/transport/sites/transport/files/2nd_workplan_atl.pdf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8B" w:rsidRDefault="00B72B8B" w:rsidP="00B72B8B">
    <w:pPr>
      <w:pStyle w:val="Encabezado"/>
      <w:jc w:val="right"/>
    </w:pPr>
    <w:r w:rsidRPr="00AD34EE">
      <w:rPr>
        <w:noProof/>
      </w:rPr>
      <w:drawing>
        <wp:inline distT="0" distB="0" distL="0" distR="0" wp14:anchorId="5BB06CD0" wp14:editId="1A4B4321">
          <wp:extent cx="502920" cy="502920"/>
          <wp:effectExtent l="0" t="0" r="0" b="0"/>
          <wp:docPr id="3" name="Imagen 3"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p w:rsidR="00B72B8B" w:rsidRPr="00B72B8B" w:rsidRDefault="00B72B8B" w:rsidP="00B72B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A3942"/>
    <w:multiLevelType w:val="hybridMultilevel"/>
    <w:tmpl w:val="B08EC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FB1E8A"/>
    <w:multiLevelType w:val="hybridMultilevel"/>
    <w:tmpl w:val="B31A7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71"/>
    <w:rsid w:val="000B29D4"/>
    <w:rsid w:val="000E7946"/>
    <w:rsid w:val="00136708"/>
    <w:rsid w:val="001676E3"/>
    <w:rsid w:val="001754B2"/>
    <w:rsid w:val="0027453B"/>
    <w:rsid w:val="0027721C"/>
    <w:rsid w:val="00293E28"/>
    <w:rsid w:val="002D44BE"/>
    <w:rsid w:val="00406E68"/>
    <w:rsid w:val="00412CD5"/>
    <w:rsid w:val="00456FD1"/>
    <w:rsid w:val="004A1DB9"/>
    <w:rsid w:val="004F4F74"/>
    <w:rsid w:val="005F4630"/>
    <w:rsid w:val="00662716"/>
    <w:rsid w:val="006C6BCB"/>
    <w:rsid w:val="0072664A"/>
    <w:rsid w:val="00A63DF3"/>
    <w:rsid w:val="00AC36A5"/>
    <w:rsid w:val="00B72B8B"/>
    <w:rsid w:val="00D2270B"/>
    <w:rsid w:val="00E77756"/>
    <w:rsid w:val="00F72871"/>
    <w:rsid w:val="00FA5200"/>
    <w:rsid w:val="00FC557C"/>
    <w:rsid w:val="00FF11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B050"/>
  <w15:chartTrackingRefBased/>
  <w15:docId w15:val="{7175DBB1-9375-4D1D-8A61-21E68091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2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72871"/>
    <w:rPr>
      <w:color w:val="0000FF"/>
      <w:u w:val="single"/>
    </w:rPr>
  </w:style>
  <w:style w:type="paragraph" w:styleId="Prrafodelista">
    <w:name w:val="List Paragraph"/>
    <w:basedOn w:val="Normal"/>
    <w:uiPriority w:val="34"/>
    <w:qFormat/>
    <w:rsid w:val="0027453B"/>
    <w:pPr>
      <w:ind w:left="720"/>
      <w:contextualSpacing/>
    </w:pPr>
  </w:style>
  <w:style w:type="paragraph" w:styleId="Textonotapie">
    <w:name w:val="footnote text"/>
    <w:basedOn w:val="Normal"/>
    <w:link w:val="TextonotapieCar"/>
    <w:uiPriority w:val="99"/>
    <w:semiHidden/>
    <w:unhideWhenUsed/>
    <w:rsid w:val="00293E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3E28"/>
    <w:rPr>
      <w:sz w:val="20"/>
      <w:szCs w:val="20"/>
    </w:rPr>
  </w:style>
  <w:style w:type="character" w:styleId="Refdenotaalpie">
    <w:name w:val="footnote reference"/>
    <w:basedOn w:val="Fuentedeprrafopredeter"/>
    <w:uiPriority w:val="99"/>
    <w:semiHidden/>
    <w:unhideWhenUsed/>
    <w:rsid w:val="00293E28"/>
    <w:rPr>
      <w:vertAlign w:val="superscript"/>
    </w:rPr>
  </w:style>
  <w:style w:type="character" w:styleId="Mencinsinresolver">
    <w:name w:val="Unresolved Mention"/>
    <w:basedOn w:val="Fuentedeprrafopredeter"/>
    <w:uiPriority w:val="99"/>
    <w:semiHidden/>
    <w:unhideWhenUsed/>
    <w:rsid w:val="00A63DF3"/>
    <w:rPr>
      <w:color w:val="808080"/>
      <w:shd w:val="clear" w:color="auto" w:fill="E6E6E6"/>
    </w:rPr>
  </w:style>
  <w:style w:type="paragraph" w:styleId="Encabezado">
    <w:name w:val="header"/>
    <w:basedOn w:val="Normal"/>
    <w:link w:val="EncabezadoCar"/>
    <w:uiPriority w:val="99"/>
    <w:unhideWhenUsed/>
    <w:rsid w:val="00B72B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B8B"/>
  </w:style>
  <w:style w:type="paragraph" w:styleId="Piedepgina">
    <w:name w:val="footer"/>
    <w:basedOn w:val="Normal"/>
    <w:link w:val="PiedepginaCar"/>
    <w:uiPriority w:val="99"/>
    <w:unhideWhenUsed/>
    <w:rsid w:val="00B72B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B8B"/>
  </w:style>
  <w:style w:type="table" w:styleId="Tablaconcuadrcula">
    <w:name w:val="Table Grid"/>
    <w:basedOn w:val="Tablanormal"/>
    <w:uiPriority w:val="39"/>
    <w:rsid w:val="00B72B8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2270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semiHidden/>
    <w:unhideWhenUsed/>
    <w:qFormat/>
    <w:rsid w:val="00D2270B"/>
    <w:pPr>
      <w:spacing w:before="480" w:line="276" w:lineRule="auto"/>
      <w:jc w:val="both"/>
      <w:outlineLvl w:val="9"/>
    </w:pPr>
    <w:rPr>
      <w:rFonts w:ascii="Cambria" w:eastAsia="Times New Roman" w:hAnsi="Cambria" w:cs="Times New Roman"/>
      <w:b/>
      <w:bCs/>
      <w:color w:val="365F91"/>
      <w:sz w:val="28"/>
      <w:szCs w:val="28"/>
      <w:lang w:val="eu-ES"/>
    </w:rPr>
  </w:style>
  <w:style w:type="paragraph" w:styleId="TDC1">
    <w:name w:val="toc 1"/>
    <w:basedOn w:val="Normal"/>
    <w:next w:val="Normal"/>
    <w:autoRedefine/>
    <w:uiPriority w:val="39"/>
    <w:qFormat/>
    <w:rsid w:val="00D2270B"/>
    <w:pPr>
      <w:tabs>
        <w:tab w:val="right" w:leader="dot" w:pos="8497"/>
      </w:tabs>
      <w:spacing w:before="120" w:after="120" w:line="240" w:lineRule="auto"/>
      <w:jc w:val="both"/>
    </w:pPr>
    <w:rPr>
      <w:rFonts w:ascii="Calibri" w:eastAsia="Times New Roman" w:hAnsi="Calibri" w:cs="Times New Roman"/>
      <w:b/>
      <w:bCs/>
      <w:caps/>
      <w:noProof/>
      <w:sz w:val="20"/>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S/ALL/?uri=CELEX%3A32013R1315" TargetMode="External"/><Relationship Id="rId13" Type="http://schemas.openxmlformats.org/officeDocument/2006/relationships/hyperlink" Target="http://ec.europa.eu/transport/infrastructure/tentec/tentec-portal/map/mobil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uri=CELEX:32015R1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S/TXT/?qid=1504181189200&amp;uri=CELEX:32012R0670" TargetMode="External"/><Relationship Id="rId5" Type="http://schemas.openxmlformats.org/officeDocument/2006/relationships/webSettings" Target="webSettings.xml"/><Relationship Id="rId15" Type="http://schemas.openxmlformats.org/officeDocument/2006/relationships/hyperlink" Target="http://fomento.es/MFOM/LANG_CASTELLANO/_ESPECIALES/FITE/DOC/" TargetMode="External"/><Relationship Id="rId10" Type="http://schemas.openxmlformats.org/officeDocument/2006/relationships/hyperlink" Target="http://eur-lex.europa.eu/legal-content/ES/TXT/?uri=CELEX:32013R1316&amp;qid=15041773128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c.europa.eu/transport/themes/infrastructure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S/TXT/?uri=CELEX:32010R0913&amp;qid=1504179581561" TargetMode="External"/><Relationship Id="rId2" Type="http://schemas.openxmlformats.org/officeDocument/2006/relationships/hyperlink" Target="http://www.europarl.europa.eu/RegData/etudes/BRIE/2015/568330/EPRS_BRI(2015)568330_EN.pdf" TargetMode="External"/><Relationship Id="rId1" Type="http://schemas.openxmlformats.org/officeDocument/2006/relationships/hyperlink" Target="https://ec.europa.eu/transport/themes/infrastructure/atlantic_en" TargetMode="External"/><Relationship Id="rId4" Type="http://schemas.openxmlformats.org/officeDocument/2006/relationships/hyperlink" Target="https://ec.europa.eu/transport/sites/transport/files/2nd_workplan_at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18F1-8895-4BE6-A721-E3460700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1604</Words>
  <Characters>8824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Irujo</dc:creator>
  <cp:keywords/>
  <dc:description/>
  <cp:lastModifiedBy>Mikel Irujo</cp:lastModifiedBy>
  <cp:revision>10</cp:revision>
  <dcterms:created xsi:type="dcterms:W3CDTF">2017-08-31T07:58:00Z</dcterms:created>
  <dcterms:modified xsi:type="dcterms:W3CDTF">2017-08-31T14:04:00Z</dcterms:modified>
</cp:coreProperties>
</file>