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7BD60" w14:textId="77777777" w:rsidR="007672A8" w:rsidRPr="00895C72" w:rsidRDefault="007672A8" w:rsidP="00024ADA">
      <w:pPr>
        <w:spacing w:after="0" w:line="240" w:lineRule="auto"/>
        <w:jc w:val="both"/>
        <w:rPr>
          <w:rFonts w:ascii="Times New Roman" w:hAnsi="Times New Roman" w:cs="Times New Roman"/>
          <w:sz w:val="24"/>
          <w:szCs w:val="24"/>
          <w:lang w:val="en-GB"/>
        </w:rPr>
      </w:pPr>
    </w:p>
    <w:p w14:paraId="42C8F7C6" w14:textId="77777777" w:rsidR="00024ADA" w:rsidRPr="00895C72" w:rsidRDefault="00024ADA" w:rsidP="00024ADA">
      <w:pPr>
        <w:spacing w:after="0" w:line="240" w:lineRule="auto"/>
        <w:jc w:val="center"/>
        <w:rPr>
          <w:rFonts w:ascii="Times New Roman" w:hAnsi="Times New Roman" w:cs="Times New Roman"/>
          <w:b/>
          <w:sz w:val="28"/>
          <w:szCs w:val="28"/>
        </w:rPr>
      </w:pPr>
      <w:r w:rsidRPr="00895C72">
        <w:rPr>
          <w:rFonts w:ascii="Times New Roman" w:hAnsi="Times New Roman" w:cs="Times New Roman"/>
          <w:b/>
          <w:sz w:val="28"/>
          <w:szCs w:val="28"/>
        </w:rPr>
        <w:t>Estrategia sobre plásticos en la Economía Circular</w:t>
      </w:r>
      <w:r w:rsidR="00895C72" w:rsidRPr="00895C72">
        <w:rPr>
          <w:rStyle w:val="Refdenotaalpie"/>
          <w:rFonts w:ascii="Times New Roman" w:hAnsi="Times New Roman" w:cs="Times New Roman"/>
          <w:b/>
          <w:sz w:val="28"/>
          <w:szCs w:val="28"/>
        </w:rPr>
        <w:footnoteReference w:id="1"/>
      </w:r>
    </w:p>
    <w:p w14:paraId="32D62FFC" w14:textId="77777777" w:rsidR="00024ADA" w:rsidRPr="00895C72" w:rsidRDefault="00024ADA" w:rsidP="00024ADA">
      <w:pPr>
        <w:spacing w:after="0" w:line="240" w:lineRule="auto"/>
        <w:jc w:val="both"/>
        <w:rPr>
          <w:rFonts w:ascii="Times New Roman" w:hAnsi="Times New Roman" w:cs="Times New Roman"/>
          <w:sz w:val="24"/>
          <w:szCs w:val="24"/>
        </w:rPr>
      </w:pPr>
    </w:p>
    <w:p w14:paraId="5DFBB435" w14:textId="77777777" w:rsidR="00B80BEC" w:rsidRPr="00895C72" w:rsidRDefault="00B80BEC" w:rsidP="00024ADA">
      <w:pPr>
        <w:spacing w:after="0" w:line="240" w:lineRule="auto"/>
        <w:jc w:val="both"/>
        <w:rPr>
          <w:rFonts w:ascii="Times New Roman" w:hAnsi="Times New Roman" w:cs="Times New Roman"/>
          <w:sz w:val="24"/>
          <w:szCs w:val="24"/>
        </w:rPr>
      </w:pPr>
    </w:p>
    <w:p w14:paraId="1C3D310B" w14:textId="77777777" w:rsidR="00B80BEC" w:rsidRPr="00895C72" w:rsidRDefault="00B80BEC" w:rsidP="00B80BEC">
      <w:pPr>
        <w:spacing w:after="0" w:line="240" w:lineRule="auto"/>
        <w:jc w:val="both"/>
        <w:rPr>
          <w:rFonts w:ascii="Times New Roman" w:hAnsi="Times New Roman" w:cs="Times New Roman"/>
          <w:sz w:val="24"/>
          <w:szCs w:val="24"/>
        </w:rPr>
      </w:pPr>
    </w:p>
    <w:p w14:paraId="728F3A06" w14:textId="77777777" w:rsidR="00B80BEC" w:rsidRPr="00895C72" w:rsidRDefault="00B80BEC" w:rsidP="00B80BEC">
      <w:pPr>
        <w:pStyle w:val="TtuloTDC"/>
        <w:spacing w:before="0" w:line="240" w:lineRule="auto"/>
        <w:rPr>
          <w:rFonts w:ascii="Times New Roman" w:hAnsi="Times New Roman"/>
          <w:sz w:val="24"/>
          <w:szCs w:val="24"/>
          <w:lang w:val="es-ES"/>
        </w:rPr>
      </w:pPr>
      <w:r w:rsidRPr="00895C72">
        <w:rPr>
          <w:rFonts w:ascii="Times New Roman" w:hAnsi="Times New Roman"/>
          <w:sz w:val="24"/>
          <w:szCs w:val="24"/>
          <w:lang w:val="es-ES"/>
        </w:rPr>
        <w:t>Contenido</w:t>
      </w:r>
    </w:p>
    <w:p w14:paraId="7BB1FFDF" w14:textId="77777777" w:rsidR="00B80BEC" w:rsidRPr="00895C72" w:rsidRDefault="00B80BEC" w:rsidP="00B80BEC">
      <w:pPr>
        <w:pStyle w:val="TDC1"/>
        <w:spacing w:before="0" w:after="0"/>
        <w:rPr>
          <w:rFonts w:ascii="Times New Roman" w:hAnsi="Times New Roman"/>
          <w:sz w:val="24"/>
          <w:lang w:val="es-ES" w:eastAsia="es-ES"/>
        </w:rPr>
      </w:pPr>
    </w:p>
    <w:p w14:paraId="76B20C6A" w14:textId="77777777" w:rsidR="00895C72" w:rsidRDefault="00B80BEC">
      <w:pPr>
        <w:pStyle w:val="TDC1"/>
        <w:rPr>
          <w:rFonts w:asciiTheme="minorHAnsi" w:eastAsiaTheme="minorEastAsia" w:hAnsiTheme="minorHAnsi" w:cstheme="minorBidi"/>
          <w:b w:val="0"/>
          <w:bCs w:val="0"/>
          <w:caps w:val="0"/>
          <w:sz w:val="22"/>
          <w:szCs w:val="22"/>
          <w:lang w:val="es-ES" w:eastAsia="es-ES"/>
        </w:rPr>
      </w:pPr>
      <w:r w:rsidRPr="00895C72">
        <w:rPr>
          <w:rFonts w:ascii="Times New Roman" w:hAnsi="Times New Roman"/>
          <w:sz w:val="24"/>
          <w:lang w:val="es-ES" w:eastAsia="es-ES"/>
        </w:rPr>
        <w:fldChar w:fldCharType="begin"/>
      </w:r>
      <w:r w:rsidRPr="00895C72">
        <w:rPr>
          <w:rFonts w:ascii="Times New Roman" w:hAnsi="Times New Roman"/>
          <w:sz w:val="24"/>
          <w:lang w:val="es-ES"/>
        </w:rPr>
        <w:instrText xml:space="preserve"> TOC \o "1-3" \h \z \u </w:instrText>
      </w:r>
      <w:r w:rsidRPr="00895C72">
        <w:rPr>
          <w:rFonts w:ascii="Times New Roman" w:hAnsi="Times New Roman"/>
          <w:sz w:val="24"/>
          <w:lang w:val="es-ES" w:eastAsia="es-ES"/>
        </w:rPr>
        <w:fldChar w:fldCharType="separate"/>
      </w:r>
      <w:hyperlink w:anchor="_Toc496510310" w:history="1">
        <w:r w:rsidR="00895C72" w:rsidRPr="009E40CF">
          <w:rPr>
            <w:rStyle w:val="Hipervnculo"/>
            <w:rFonts w:ascii="Times New Roman" w:hAnsi="Times New Roman"/>
          </w:rPr>
          <w:t>Plan de acción sobre plásticos de la UE</w:t>
        </w:r>
        <w:r w:rsidR="00895C72">
          <w:rPr>
            <w:webHidden/>
          </w:rPr>
          <w:tab/>
        </w:r>
        <w:r w:rsidR="00895C72">
          <w:rPr>
            <w:webHidden/>
          </w:rPr>
          <w:fldChar w:fldCharType="begin"/>
        </w:r>
        <w:r w:rsidR="00895C72">
          <w:rPr>
            <w:webHidden/>
          </w:rPr>
          <w:instrText xml:space="preserve"> PAGEREF _Toc496510310 \h </w:instrText>
        </w:r>
        <w:r w:rsidR="00895C72">
          <w:rPr>
            <w:webHidden/>
          </w:rPr>
        </w:r>
        <w:r w:rsidR="00895C72">
          <w:rPr>
            <w:webHidden/>
          </w:rPr>
          <w:fldChar w:fldCharType="separate"/>
        </w:r>
        <w:r w:rsidR="00895C72">
          <w:rPr>
            <w:webHidden/>
          </w:rPr>
          <w:t>1</w:t>
        </w:r>
        <w:r w:rsidR="00895C72">
          <w:rPr>
            <w:webHidden/>
          </w:rPr>
          <w:fldChar w:fldCharType="end"/>
        </w:r>
      </w:hyperlink>
    </w:p>
    <w:p w14:paraId="279328D5" w14:textId="77777777" w:rsidR="00895C72" w:rsidRDefault="00895C72">
      <w:pPr>
        <w:pStyle w:val="TDC2"/>
        <w:tabs>
          <w:tab w:val="right" w:leader="dot" w:pos="8494"/>
        </w:tabs>
        <w:rPr>
          <w:noProof/>
        </w:rPr>
      </w:pPr>
      <w:hyperlink w:anchor="_Toc496510311" w:history="1">
        <w:r w:rsidRPr="009E40CF">
          <w:rPr>
            <w:rStyle w:val="Hipervnculo"/>
            <w:rFonts w:ascii="Times New Roman" w:hAnsi="Times New Roman" w:cs="Times New Roman"/>
            <w:noProof/>
          </w:rPr>
          <w:t>A. Contexto y problemática</w:t>
        </w:r>
        <w:r>
          <w:rPr>
            <w:noProof/>
            <w:webHidden/>
          </w:rPr>
          <w:tab/>
        </w:r>
        <w:r>
          <w:rPr>
            <w:noProof/>
            <w:webHidden/>
          </w:rPr>
          <w:fldChar w:fldCharType="begin"/>
        </w:r>
        <w:r>
          <w:rPr>
            <w:noProof/>
            <w:webHidden/>
          </w:rPr>
          <w:instrText xml:space="preserve"> PAGEREF _Toc496510311 \h </w:instrText>
        </w:r>
        <w:r>
          <w:rPr>
            <w:noProof/>
            <w:webHidden/>
          </w:rPr>
        </w:r>
        <w:r>
          <w:rPr>
            <w:noProof/>
            <w:webHidden/>
          </w:rPr>
          <w:fldChar w:fldCharType="separate"/>
        </w:r>
        <w:r>
          <w:rPr>
            <w:noProof/>
            <w:webHidden/>
          </w:rPr>
          <w:t>1</w:t>
        </w:r>
        <w:r>
          <w:rPr>
            <w:noProof/>
            <w:webHidden/>
          </w:rPr>
          <w:fldChar w:fldCharType="end"/>
        </w:r>
      </w:hyperlink>
    </w:p>
    <w:p w14:paraId="539243A0" w14:textId="77777777" w:rsidR="00895C72" w:rsidRDefault="00895C72">
      <w:pPr>
        <w:pStyle w:val="TDC2"/>
        <w:tabs>
          <w:tab w:val="right" w:leader="dot" w:pos="8494"/>
        </w:tabs>
        <w:rPr>
          <w:noProof/>
        </w:rPr>
      </w:pPr>
      <w:hyperlink w:anchor="_Toc496510312" w:history="1">
        <w:r w:rsidRPr="009E40CF">
          <w:rPr>
            <w:rStyle w:val="Hipervnculo"/>
            <w:rFonts w:ascii="Times New Roman" w:hAnsi="Times New Roman" w:cs="Times New Roman"/>
            <w:noProof/>
          </w:rPr>
          <w:t>B. Qué pretende lograr la iniciativa y cómo</w:t>
        </w:r>
        <w:r>
          <w:rPr>
            <w:noProof/>
            <w:webHidden/>
          </w:rPr>
          <w:tab/>
        </w:r>
        <w:r>
          <w:rPr>
            <w:noProof/>
            <w:webHidden/>
          </w:rPr>
          <w:fldChar w:fldCharType="begin"/>
        </w:r>
        <w:r>
          <w:rPr>
            <w:noProof/>
            <w:webHidden/>
          </w:rPr>
          <w:instrText xml:space="preserve"> PAGEREF _Toc496510312 \h </w:instrText>
        </w:r>
        <w:r>
          <w:rPr>
            <w:noProof/>
            <w:webHidden/>
          </w:rPr>
        </w:r>
        <w:r>
          <w:rPr>
            <w:noProof/>
            <w:webHidden/>
          </w:rPr>
          <w:fldChar w:fldCharType="separate"/>
        </w:r>
        <w:r>
          <w:rPr>
            <w:noProof/>
            <w:webHidden/>
          </w:rPr>
          <w:t>4</w:t>
        </w:r>
        <w:r>
          <w:rPr>
            <w:noProof/>
            <w:webHidden/>
          </w:rPr>
          <w:fldChar w:fldCharType="end"/>
        </w:r>
      </w:hyperlink>
    </w:p>
    <w:p w14:paraId="2D393F92" w14:textId="77777777" w:rsidR="00895C72" w:rsidRDefault="00895C72">
      <w:pPr>
        <w:pStyle w:val="TDC1"/>
        <w:rPr>
          <w:rFonts w:asciiTheme="minorHAnsi" w:eastAsiaTheme="minorEastAsia" w:hAnsiTheme="minorHAnsi" w:cstheme="minorBidi"/>
          <w:b w:val="0"/>
          <w:bCs w:val="0"/>
          <w:caps w:val="0"/>
          <w:sz w:val="22"/>
          <w:szCs w:val="22"/>
          <w:lang w:val="es-ES" w:eastAsia="es-ES"/>
        </w:rPr>
      </w:pPr>
      <w:hyperlink w:anchor="_Toc496510313" w:history="1">
        <w:r w:rsidRPr="009E40CF">
          <w:rPr>
            <w:rStyle w:val="Hipervnculo"/>
            <w:rFonts w:ascii="Times New Roman" w:hAnsi="Times New Roman"/>
          </w:rPr>
          <w:t>Redes y otros contactos de interés UE</w:t>
        </w:r>
        <w:r>
          <w:rPr>
            <w:webHidden/>
          </w:rPr>
          <w:tab/>
        </w:r>
        <w:r>
          <w:rPr>
            <w:webHidden/>
          </w:rPr>
          <w:fldChar w:fldCharType="begin"/>
        </w:r>
        <w:r>
          <w:rPr>
            <w:webHidden/>
          </w:rPr>
          <w:instrText xml:space="preserve"> PAGEREF _Toc496510313 \h </w:instrText>
        </w:r>
        <w:r>
          <w:rPr>
            <w:webHidden/>
          </w:rPr>
        </w:r>
        <w:r>
          <w:rPr>
            <w:webHidden/>
          </w:rPr>
          <w:fldChar w:fldCharType="separate"/>
        </w:r>
        <w:r>
          <w:rPr>
            <w:webHidden/>
          </w:rPr>
          <w:t>4</w:t>
        </w:r>
        <w:r>
          <w:rPr>
            <w:webHidden/>
          </w:rPr>
          <w:fldChar w:fldCharType="end"/>
        </w:r>
      </w:hyperlink>
    </w:p>
    <w:p w14:paraId="084893D7" w14:textId="77777777" w:rsidR="00B80BEC" w:rsidRPr="00895C72" w:rsidRDefault="00B80BEC" w:rsidP="00B80BEC">
      <w:pPr>
        <w:spacing w:after="0" w:line="240" w:lineRule="auto"/>
        <w:jc w:val="both"/>
        <w:rPr>
          <w:rFonts w:ascii="Times New Roman" w:hAnsi="Times New Roman" w:cs="Times New Roman"/>
          <w:sz w:val="24"/>
          <w:szCs w:val="24"/>
        </w:rPr>
      </w:pPr>
      <w:r w:rsidRPr="00895C72">
        <w:rPr>
          <w:rFonts w:ascii="Times New Roman" w:hAnsi="Times New Roman" w:cs="Times New Roman"/>
          <w:sz w:val="24"/>
          <w:szCs w:val="24"/>
        </w:rPr>
        <w:fldChar w:fldCharType="end"/>
      </w:r>
    </w:p>
    <w:p w14:paraId="635C63BD" w14:textId="77777777" w:rsidR="00B80BEC" w:rsidRPr="00895C72" w:rsidRDefault="00B80BEC" w:rsidP="00B80BEC">
      <w:pPr>
        <w:spacing w:after="0" w:line="240" w:lineRule="auto"/>
        <w:jc w:val="both"/>
        <w:rPr>
          <w:rFonts w:ascii="Times New Roman" w:hAnsi="Times New Roman" w:cs="Times New Roman"/>
          <w:sz w:val="24"/>
          <w:szCs w:val="24"/>
        </w:rPr>
      </w:pPr>
    </w:p>
    <w:p w14:paraId="6A6B322F" w14:textId="77777777" w:rsidR="00B80BEC" w:rsidRPr="00895C72" w:rsidRDefault="00B80BEC" w:rsidP="00B80BEC">
      <w:pPr>
        <w:pStyle w:val="Ttulo1"/>
        <w:rPr>
          <w:rFonts w:ascii="Times New Roman" w:hAnsi="Times New Roman" w:cs="Times New Roman"/>
          <w:sz w:val="24"/>
          <w:szCs w:val="24"/>
        </w:rPr>
      </w:pPr>
      <w:bookmarkStart w:id="0" w:name="_Toc496510310"/>
      <w:r w:rsidRPr="00895C72">
        <w:rPr>
          <w:rFonts w:ascii="Times New Roman" w:hAnsi="Times New Roman" w:cs="Times New Roman"/>
          <w:sz w:val="24"/>
          <w:szCs w:val="24"/>
        </w:rPr>
        <w:t>Plan de acción sobre plásticos de la UE</w:t>
      </w:r>
      <w:bookmarkEnd w:id="0"/>
    </w:p>
    <w:p w14:paraId="2D711DD3" w14:textId="77777777" w:rsidR="00B80BEC" w:rsidRPr="00895C72" w:rsidRDefault="00B80BEC" w:rsidP="00B80BEC">
      <w:pPr>
        <w:spacing w:after="0" w:line="240" w:lineRule="auto"/>
        <w:jc w:val="both"/>
        <w:rPr>
          <w:rFonts w:ascii="Times New Roman" w:hAnsi="Times New Roman" w:cs="Times New Roman"/>
          <w:sz w:val="24"/>
          <w:szCs w:val="24"/>
        </w:rPr>
      </w:pPr>
    </w:p>
    <w:p w14:paraId="6791FEF1" w14:textId="26E5151E" w:rsidR="00B80BEC" w:rsidRPr="00895C72" w:rsidRDefault="00B80BEC" w:rsidP="00B80BEC">
      <w:pPr>
        <w:spacing w:after="0" w:line="240" w:lineRule="auto"/>
        <w:jc w:val="both"/>
        <w:rPr>
          <w:rFonts w:ascii="Times New Roman" w:hAnsi="Times New Roman" w:cs="Times New Roman"/>
          <w:sz w:val="24"/>
          <w:szCs w:val="24"/>
        </w:rPr>
      </w:pPr>
      <w:r w:rsidRPr="00895C72">
        <w:rPr>
          <w:rFonts w:ascii="Times New Roman" w:hAnsi="Times New Roman" w:cs="Times New Roman"/>
          <w:sz w:val="24"/>
          <w:szCs w:val="24"/>
        </w:rPr>
        <w:t xml:space="preserve">La Comisión piensa aprobar una política de plásticos para la UE a finales de este año 2017. A </w:t>
      </w:r>
      <w:r w:rsidR="00873BBD" w:rsidRPr="00895C72">
        <w:rPr>
          <w:rFonts w:ascii="Times New Roman" w:hAnsi="Times New Roman" w:cs="Times New Roman"/>
          <w:sz w:val="24"/>
          <w:szCs w:val="24"/>
        </w:rPr>
        <w:t>continuación,</w:t>
      </w:r>
      <w:r w:rsidRPr="00895C72">
        <w:rPr>
          <w:rFonts w:ascii="Times New Roman" w:hAnsi="Times New Roman" w:cs="Times New Roman"/>
          <w:sz w:val="24"/>
          <w:szCs w:val="24"/>
        </w:rPr>
        <w:t xml:space="preserve"> se presenta el documento resumen (traducido) de la Comisión sobre dicha propuesta</w:t>
      </w:r>
      <w:r w:rsidRPr="00895C72">
        <w:rPr>
          <w:rStyle w:val="Refdenotaalpie"/>
          <w:rFonts w:ascii="Times New Roman" w:hAnsi="Times New Roman" w:cs="Times New Roman"/>
          <w:sz w:val="24"/>
          <w:szCs w:val="24"/>
        </w:rPr>
        <w:footnoteReference w:id="2"/>
      </w:r>
      <w:r w:rsidRPr="00895C72">
        <w:rPr>
          <w:rFonts w:ascii="Times New Roman" w:hAnsi="Times New Roman" w:cs="Times New Roman"/>
          <w:sz w:val="24"/>
          <w:szCs w:val="24"/>
        </w:rPr>
        <w:t>.</w:t>
      </w:r>
    </w:p>
    <w:p w14:paraId="66EE54D7" w14:textId="77777777" w:rsidR="00B80BEC" w:rsidRPr="00895C72" w:rsidRDefault="00B80BEC" w:rsidP="00024ADA">
      <w:pPr>
        <w:spacing w:after="0" w:line="240" w:lineRule="auto"/>
        <w:jc w:val="both"/>
        <w:rPr>
          <w:rFonts w:ascii="Times New Roman" w:hAnsi="Times New Roman" w:cs="Times New Roman"/>
          <w:sz w:val="24"/>
          <w:szCs w:val="24"/>
        </w:rPr>
      </w:pPr>
    </w:p>
    <w:p w14:paraId="6039AE85" w14:textId="77777777" w:rsidR="00024ADA" w:rsidRPr="00895C72" w:rsidRDefault="00024ADA" w:rsidP="00B80BEC">
      <w:pPr>
        <w:pStyle w:val="Ttulo2"/>
        <w:rPr>
          <w:rFonts w:ascii="Times New Roman" w:hAnsi="Times New Roman" w:cs="Times New Roman"/>
          <w:sz w:val="24"/>
          <w:szCs w:val="24"/>
        </w:rPr>
      </w:pPr>
      <w:bookmarkStart w:id="1" w:name="_Toc496510311"/>
      <w:r w:rsidRPr="00895C72">
        <w:rPr>
          <w:rFonts w:ascii="Times New Roman" w:hAnsi="Times New Roman" w:cs="Times New Roman"/>
          <w:sz w:val="24"/>
          <w:szCs w:val="24"/>
        </w:rPr>
        <w:t>A. Contexto y problemática</w:t>
      </w:r>
      <w:bookmarkStart w:id="2" w:name="_GoBack"/>
      <w:bookmarkEnd w:id="1"/>
      <w:bookmarkEnd w:id="2"/>
    </w:p>
    <w:p w14:paraId="1FE90C2B" w14:textId="77777777" w:rsidR="00024ADA" w:rsidRPr="00895C72" w:rsidRDefault="00024ADA" w:rsidP="00024ADA">
      <w:pPr>
        <w:spacing w:after="0" w:line="240" w:lineRule="auto"/>
        <w:jc w:val="both"/>
        <w:rPr>
          <w:rFonts w:ascii="Times New Roman" w:hAnsi="Times New Roman" w:cs="Times New Roman"/>
          <w:sz w:val="24"/>
          <w:szCs w:val="24"/>
        </w:rPr>
      </w:pPr>
    </w:p>
    <w:p w14:paraId="4A849E05" w14:textId="77777777" w:rsidR="007672A8" w:rsidRPr="00895C72" w:rsidRDefault="007672A8" w:rsidP="00024ADA">
      <w:pPr>
        <w:spacing w:after="0" w:line="240" w:lineRule="auto"/>
        <w:jc w:val="both"/>
        <w:rPr>
          <w:rFonts w:ascii="Times New Roman" w:hAnsi="Times New Roman" w:cs="Times New Roman"/>
          <w:sz w:val="24"/>
          <w:szCs w:val="24"/>
        </w:rPr>
      </w:pPr>
      <w:r w:rsidRPr="00895C72">
        <w:rPr>
          <w:rFonts w:ascii="Times New Roman" w:hAnsi="Times New Roman" w:cs="Times New Roman"/>
          <w:sz w:val="24"/>
          <w:szCs w:val="24"/>
        </w:rPr>
        <w:t>El plástico es un material importante para nuestra economía. La producción global de plásticos ha crecido exponencialmente desde la década de 1960, alcanzando los 311 millones de toneladas producidas en 2014, un incremento veinte veces</w:t>
      </w:r>
      <w:r w:rsidRPr="00895C72">
        <w:rPr>
          <w:rFonts w:ascii="Times New Roman" w:hAnsi="Times New Roman" w:cs="Times New Roman"/>
          <w:sz w:val="24"/>
          <w:szCs w:val="24"/>
        </w:rPr>
        <w:t xml:space="preserve"> superior</w:t>
      </w:r>
      <w:r w:rsidRPr="00895C72">
        <w:rPr>
          <w:rFonts w:ascii="Times New Roman" w:hAnsi="Times New Roman" w:cs="Times New Roman"/>
          <w:sz w:val="24"/>
          <w:szCs w:val="24"/>
        </w:rPr>
        <w:t>. Se espera alcanzar hasta 1.200 millones de toneladas anuales para 2050. La industria europea del plástico desempeña un papel vital en la economía de la UE, con 1,45 millones de empleados y una facturación de 350 000 millones (incluidos los convertidores y los productores de maquinaria). Si bien la producción de plásticos de la UE se ha estabilizado en los últimos años, su participación en el mercado mundial está disminuyendo. En Europa, más del 40% de los plásticos se utilizan en envases, el 20% se usa en la construcción y menos del 10% en la industria automotriz. Otras aplicaciones comunes incluyen muebles, electrodomésticos, productos eléctricos y electrónicos y usos agrícolas. Si bien los materiales plásticos son un motor de nuestra economía, es necesario abordar una serie de cuestiones ambientales relacionadas con su producción, uso y final de la vida. Las externalidades no se incluyen sistemáticamente en los precios ni del material en sí ni del producto final. Las aplicaciones de empaque</w:t>
      </w:r>
      <w:r w:rsidRPr="00895C72">
        <w:rPr>
          <w:rFonts w:ascii="Times New Roman" w:hAnsi="Times New Roman" w:cs="Times New Roman"/>
          <w:sz w:val="24"/>
          <w:szCs w:val="24"/>
        </w:rPr>
        <w:t>tado</w:t>
      </w:r>
      <w:r w:rsidRPr="00895C72">
        <w:rPr>
          <w:rFonts w:ascii="Times New Roman" w:hAnsi="Times New Roman" w:cs="Times New Roman"/>
          <w:sz w:val="24"/>
          <w:szCs w:val="24"/>
        </w:rPr>
        <w:t xml:space="preserve"> son particularmente relevantes; su funcionalidad tiene que pesar con su considerable potencial de basura. El comportamiento del consumidor también entra en juego. La nueva iniciativa sobre plásticos pretende abordar tres cuestiones interrelacionadas:</w:t>
      </w:r>
    </w:p>
    <w:p w14:paraId="5CAEFBD5" w14:textId="77777777" w:rsidR="007672A8" w:rsidRPr="00895C72" w:rsidRDefault="007672A8" w:rsidP="00024ADA">
      <w:pPr>
        <w:spacing w:after="0" w:line="240" w:lineRule="auto"/>
        <w:jc w:val="both"/>
        <w:rPr>
          <w:rFonts w:ascii="Times New Roman" w:hAnsi="Times New Roman" w:cs="Times New Roman"/>
          <w:sz w:val="24"/>
          <w:szCs w:val="24"/>
        </w:rPr>
      </w:pPr>
    </w:p>
    <w:p w14:paraId="4000084D" w14:textId="77777777" w:rsidR="007672A8" w:rsidRPr="00895C72" w:rsidRDefault="00024ADA" w:rsidP="00024ADA">
      <w:pPr>
        <w:spacing w:after="0" w:line="240" w:lineRule="auto"/>
        <w:jc w:val="both"/>
        <w:rPr>
          <w:rFonts w:ascii="Times New Roman" w:hAnsi="Times New Roman" w:cs="Times New Roman"/>
          <w:i/>
          <w:sz w:val="24"/>
          <w:szCs w:val="24"/>
        </w:rPr>
      </w:pPr>
      <w:r w:rsidRPr="00895C72">
        <w:rPr>
          <w:rFonts w:ascii="Times New Roman" w:hAnsi="Times New Roman" w:cs="Times New Roman"/>
          <w:i/>
          <w:sz w:val="24"/>
          <w:szCs w:val="24"/>
        </w:rPr>
        <w:t xml:space="preserve">1) </w:t>
      </w:r>
      <w:r w:rsidR="007672A8" w:rsidRPr="00895C72">
        <w:rPr>
          <w:rFonts w:ascii="Times New Roman" w:hAnsi="Times New Roman" w:cs="Times New Roman"/>
          <w:i/>
          <w:sz w:val="24"/>
          <w:szCs w:val="24"/>
        </w:rPr>
        <w:t xml:space="preserve">Alta dependencia de materia prima fósil virgen </w:t>
      </w:r>
    </w:p>
    <w:p w14:paraId="5C4B375B" w14:textId="77777777" w:rsidR="00024ADA" w:rsidRPr="00895C72" w:rsidRDefault="00024ADA" w:rsidP="00024ADA">
      <w:pPr>
        <w:spacing w:after="0" w:line="240" w:lineRule="auto"/>
        <w:rPr>
          <w:rFonts w:ascii="Times New Roman" w:hAnsi="Times New Roman" w:cs="Times New Roman"/>
          <w:sz w:val="24"/>
          <w:szCs w:val="24"/>
        </w:rPr>
      </w:pPr>
    </w:p>
    <w:p w14:paraId="4C977F8A" w14:textId="77777777" w:rsidR="00024ADA" w:rsidRPr="00895C72" w:rsidRDefault="007672A8" w:rsidP="00024ADA">
      <w:pPr>
        <w:spacing w:after="0" w:line="240" w:lineRule="auto"/>
        <w:jc w:val="both"/>
        <w:rPr>
          <w:rFonts w:ascii="Times New Roman" w:hAnsi="Times New Roman" w:cs="Times New Roman"/>
          <w:sz w:val="24"/>
          <w:szCs w:val="24"/>
        </w:rPr>
      </w:pPr>
      <w:r w:rsidRPr="00895C72">
        <w:rPr>
          <w:rFonts w:ascii="Times New Roman" w:hAnsi="Times New Roman" w:cs="Times New Roman"/>
          <w:sz w:val="24"/>
          <w:szCs w:val="24"/>
        </w:rPr>
        <w:lastRenderedPageBreak/>
        <w:t xml:space="preserve">Más del 90% de los plásticos hoy en día se producen a partir de materias primas de combustibles fósiles y la producción de plásticos genera aproximadamente 400 millones de toneladas anuales de emisiones de GEI (2012). Si las tendencias actuales continúan, para 2050 podría elevarse al 20% del consumo mundial de petróleo y al 15% de las emisiones de carbono anuales globales. </w:t>
      </w:r>
    </w:p>
    <w:p w14:paraId="6B04B708" w14:textId="77777777" w:rsidR="00895C72" w:rsidRPr="00895C72" w:rsidRDefault="00895C72" w:rsidP="00024ADA">
      <w:pPr>
        <w:spacing w:after="0" w:line="240" w:lineRule="auto"/>
        <w:jc w:val="both"/>
        <w:rPr>
          <w:rFonts w:ascii="Times New Roman" w:hAnsi="Times New Roman" w:cs="Times New Roman"/>
          <w:sz w:val="24"/>
          <w:szCs w:val="24"/>
        </w:rPr>
      </w:pPr>
    </w:p>
    <w:p w14:paraId="2EEEAF4F" w14:textId="77777777" w:rsidR="00024ADA" w:rsidRPr="00895C72" w:rsidRDefault="007672A8" w:rsidP="00895C72">
      <w:pPr>
        <w:spacing w:after="0" w:line="240" w:lineRule="auto"/>
        <w:ind w:left="708"/>
        <w:jc w:val="both"/>
        <w:rPr>
          <w:rFonts w:ascii="Times New Roman" w:hAnsi="Times New Roman" w:cs="Times New Roman"/>
          <w:sz w:val="24"/>
          <w:szCs w:val="24"/>
        </w:rPr>
      </w:pPr>
      <w:r w:rsidRPr="00895C72">
        <w:rPr>
          <w:rFonts w:ascii="Times New Roman" w:hAnsi="Times New Roman" w:cs="Times New Roman"/>
          <w:sz w:val="24"/>
          <w:szCs w:val="24"/>
        </w:rPr>
        <w:t xml:space="preserve">1.1 </w:t>
      </w:r>
      <w:r w:rsidR="00024ADA" w:rsidRPr="00895C72">
        <w:rPr>
          <w:rFonts w:ascii="Times New Roman" w:hAnsi="Times New Roman" w:cs="Times New Roman"/>
          <w:sz w:val="24"/>
          <w:szCs w:val="24"/>
        </w:rPr>
        <w:t>Materias primas alternativa</w:t>
      </w:r>
      <w:r w:rsidRPr="00895C72">
        <w:rPr>
          <w:rFonts w:ascii="Times New Roman" w:hAnsi="Times New Roman" w:cs="Times New Roman"/>
          <w:sz w:val="24"/>
          <w:szCs w:val="24"/>
        </w:rPr>
        <w:t xml:space="preserve">s: a largo plazo, es necesario desacoplamiento de la producción de plásticos a partir de materia prima fósil virgen e impactos de GEI en el ciclo de vida. Además del reciclaje, la biomasa y el CO2 están potencialmente disponibles como materia prima primaria, pero es necesario evaluar mejor su viabilidad y los impactos ambientales. </w:t>
      </w:r>
    </w:p>
    <w:p w14:paraId="15C837DA" w14:textId="77777777" w:rsidR="00024ADA" w:rsidRPr="00895C72" w:rsidRDefault="007672A8" w:rsidP="00895C72">
      <w:pPr>
        <w:spacing w:after="0" w:line="240" w:lineRule="auto"/>
        <w:ind w:left="708"/>
        <w:jc w:val="both"/>
        <w:rPr>
          <w:rFonts w:ascii="Times New Roman" w:hAnsi="Times New Roman" w:cs="Times New Roman"/>
          <w:sz w:val="24"/>
          <w:szCs w:val="24"/>
        </w:rPr>
      </w:pPr>
      <w:r w:rsidRPr="00895C72">
        <w:rPr>
          <w:rFonts w:ascii="Times New Roman" w:hAnsi="Times New Roman" w:cs="Times New Roman"/>
          <w:sz w:val="24"/>
          <w:szCs w:val="24"/>
        </w:rPr>
        <w:t xml:space="preserve">1.2. Barreras técnicas para el reciclaje de materia prima: se deben desarrollar tecnologías innovadoras para procesar materia prima alternativa, como la conversión de desechos plásticos mezclados en polímeros vírgenes, y para abordar la presencia de sustancias de preocupación en plásticos que de otro modo podrían reciclarse. </w:t>
      </w:r>
    </w:p>
    <w:p w14:paraId="3D136AFB" w14:textId="77777777" w:rsidR="007672A8" w:rsidRPr="00895C72" w:rsidRDefault="007672A8" w:rsidP="00895C72">
      <w:pPr>
        <w:spacing w:after="0" w:line="240" w:lineRule="auto"/>
        <w:ind w:left="708"/>
        <w:jc w:val="both"/>
        <w:rPr>
          <w:rFonts w:ascii="Times New Roman" w:hAnsi="Times New Roman" w:cs="Times New Roman"/>
          <w:sz w:val="24"/>
          <w:szCs w:val="24"/>
        </w:rPr>
      </w:pPr>
      <w:r w:rsidRPr="00895C72">
        <w:rPr>
          <w:rFonts w:ascii="Times New Roman" w:hAnsi="Times New Roman" w:cs="Times New Roman"/>
          <w:sz w:val="24"/>
          <w:szCs w:val="24"/>
        </w:rPr>
        <w:t>1.3. Incentivos para la diversificación de materias primas: aún se ofrecen incentivos financieros que favorecen soluciones menos eficientes en el uso de los recursos, como los procesos de recuperación de energía en lugar del reciclaje mecánico o de materia prima.</w:t>
      </w:r>
    </w:p>
    <w:p w14:paraId="2CFBEF49" w14:textId="77777777" w:rsidR="007672A8" w:rsidRPr="00895C72" w:rsidRDefault="007672A8" w:rsidP="00024ADA">
      <w:pPr>
        <w:spacing w:after="0" w:line="240" w:lineRule="auto"/>
        <w:jc w:val="both"/>
        <w:rPr>
          <w:rFonts w:ascii="Times New Roman" w:hAnsi="Times New Roman" w:cs="Times New Roman"/>
          <w:sz w:val="24"/>
          <w:szCs w:val="24"/>
        </w:rPr>
      </w:pPr>
    </w:p>
    <w:p w14:paraId="58177DAA" w14:textId="77777777" w:rsidR="007672A8" w:rsidRPr="00895C72" w:rsidRDefault="007672A8" w:rsidP="00024ADA">
      <w:pPr>
        <w:spacing w:after="0" w:line="240" w:lineRule="auto"/>
        <w:jc w:val="both"/>
        <w:rPr>
          <w:rFonts w:ascii="Times New Roman" w:hAnsi="Times New Roman" w:cs="Times New Roman"/>
          <w:i/>
          <w:sz w:val="24"/>
          <w:szCs w:val="24"/>
        </w:rPr>
      </w:pPr>
      <w:r w:rsidRPr="00895C72">
        <w:rPr>
          <w:rFonts w:ascii="Times New Roman" w:hAnsi="Times New Roman" w:cs="Times New Roman"/>
          <w:i/>
          <w:sz w:val="24"/>
          <w:szCs w:val="24"/>
        </w:rPr>
        <w:t xml:space="preserve">2) Baja tasa de reciclaje y reutilización de plásticos </w:t>
      </w:r>
    </w:p>
    <w:p w14:paraId="183CBACD" w14:textId="77777777" w:rsidR="007672A8" w:rsidRPr="00895C72" w:rsidRDefault="007672A8" w:rsidP="00024ADA">
      <w:pPr>
        <w:spacing w:after="0" w:line="240" w:lineRule="auto"/>
        <w:jc w:val="both"/>
        <w:rPr>
          <w:rFonts w:ascii="Times New Roman" w:hAnsi="Times New Roman" w:cs="Times New Roman"/>
          <w:sz w:val="24"/>
          <w:szCs w:val="24"/>
        </w:rPr>
      </w:pPr>
    </w:p>
    <w:p w14:paraId="6CD70E5B" w14:textId="77777777" w:rsidR="007672A8" w:rsidRPr="00895C72" w:rsidRDefault="007672A8" w:rsidP="00024ADA">
      <w:pPr>
        <w:spacing w:after="0" w:line="240" w:lineRule="auto"/>
        <w:jc w:val="both"/>
        <w:rPr>
          <w:rFonts w:ascii="Times New Roman" w:hAnsi="Times New Roman" w:cs="Times New Roman"/>
          <w:sz w:val="24"/>
          <w:szCs w:val="24"/>
        </w:rPr>
      </w:pPr>
      <w:r w:rsidRPr="00895C72">
        <w:rPr>
          <w:rFonts w:ascii="Times New Roman" w:hAnsi="Times New Roman" w:cs="Times New Roman"/>
          <w:sz w:val="24"/>
          <w:szCs w:val="24"/>
        </w:rPr>
        <w:t xml:space="preserve">La reutilización y el reciclado de plásticos al final de la vida útil sigue siendo muy bajo, en particular cuando se compara con otras corrientes de materiales. En 2014, la UE generó alrededor de 25 millones de toneladas de residuos plásticos </w:t>
      </w:r>
      <w:proofErr w:type="spellStart"/>
      <w:r w:rsidRPr="00895C72">
        <w:rPr>
          <w:rFonts w:ascii="Times New Roman" w:hAnsi="Times New Roman" w:cs="Times New Roman"/>
          <w:sz w:val="24"/>
          <w:szCs w:val="24"/>
        </w:rPr>
        <w:t>postconsumo</w:t>
      </w:r>
      <w:proofErr w:type="spellEnd"/>
      <w:r w:rsidRPr="00895C72">
        <w:rPr>
          <w:rFonts w:ascii="Times New Roman" w:hAnsi="Times New Roman" w:cs="Times New Roman"/>
          <w:sz w:val="24"/>
          <w:szCs w:val="24"/>
        </w:rPr>
        <w:t xml:space="preserve">, de los cuales solo el 30% se recicló. Las tasas de vertederos (31%) e incineración (39%) son muy elevadas y, aunque el vertido ha disminuido en los últimos 10 años, la incineración ha ido creciendo, con grandes disparidades entre los Estados miembros, vinculadas a varios estados de aplicación de la legislación existente. La UE exporta casi la mitad de los plásticos recogidos para reciclar. El problema tiene raíces económicas, ya que las condiciones del mercado para el reciclaje de plásticos no son óptimas (altos costos fijos de reciclaje frente a los bajos precios de mercado del material virgen), también porque las externalidades no se contabilizan adecuadamente. Muchos elementos diferentes conducen a esta situación y su importancia relativa también puede variar, dependiendo de la aplicación específica (por ejemplo, embalaje, materiales de construcción, RAEE, etc.): pequeñas cantidades de ciertos tipos de plástico (por ejemplo, por tipo de polímero), dificultad para obtener economías de escala, pérdidas de procesos (por ejemplo, solo la mitad de lo que se recolecta para reciclar se recicla en realidad) y problemas de calidad (por ejemplo, relacionados con la presencia de aditivos o la mezcla de diferentes tipos de polímeros). Faltan buenos datos sobre los diferentes flujos de plástico. </w:t>
      </w:r>
    </w:p>
    <w:p w14:paraId="114EA8A1" w14:textId="77777777" w:rsidR="007672A8" w:rsidRPr="00895C72" w:rsidRDefault="007672A8" w:rsidP="00895C72">
      <w:pPr>
        <w:spacing w:after="0" w:line="240" w:lineRule="auto"/>
        <w:ind w:left="708"/>
        <w:jc w:val="both"/>
        <w:rPr>
          <w:rFonts w:ascii="Times New Roman" w:hAnsi="Times New Roman" w:cs="Times New Roman"/>
          <w:sz w:val="24"/>
          <w:szCs w:val="24"/>
        </w:rPr>
      </w:pPr>
    </w:p>
    <w:p w14:paraId="11A7EDCD" w14:textId="77777777" w:rsidR="007672A8" w:rsidRPr="00895C72" w:rsidRDefault="007672A8" w:rsidP="00895C72">
      <w:pPr>
        <w:spacing w:after="0" w:line="240" w:lineRule="auto"/>
        <w:ind w:left="708"/>
        <w:jc w:val="both"/>
        <w:rPr>
          <w:rFonts w:ascii="Times New Roman" w:hAnsi="Times New Roman" w:cs="Times New Roman"/>
          <w:sz w:val="24"/>
          <w:szCs w:val="24"/>
        </w:rPr>
      </w:pPr>
      <w:r w:rsidRPr="00895C72">
        <w:rPr>
          <w:rFonts w:ascii="Times New Roman" w:hAnsi="Times New Roman" w:cs="Times New Roman"/>
          <w:sz w:val="24"/>
          <w:szCs w:val="24"/>
        </w:rPr>
        <w:t xml:space="preserve">2.1. Débiles incentivos para un mercado de materiales plásticos secundarios: los incentivos económicos para usar materiales plásticos reciclados en los productos son débiles. No existe un alto flujo constante de reciclados de alta calidad ni un enfoque horizontal claro sobre cómo tratar las sustancias heredadas en los reciclados, que evalúa cuidadosamente los pros y los contras de permitir el reciclado de ciertos materiales frente a la eliminación de los productos químicos de interés. </w:t>
      </w:r>
    </w:p>
    <w:p w14:paraId="725A859F" w14:textId="77777777" w:rsidR="007672A8" w:rsidRPr="00895C72" w:rsidRDefault="007672A8" w:rsidP="00895C72">
      <w:pPr>
        <w:spacing w:after="0" w:line="240" w:lineRule="auto"/>
        <w:ind w:left="708"/>
        <w:jc w:val="both"/>
        <w:rPr>
          <w:rFonts w:ascii="Times New Roman" w:hAnsi="Times New Roman" w:cs="Times New Roman"/>
          <w:sz w:val="24"/>
          <w:szCs w:val="24"/>
        </w:rPr>
      </w:pPr>
    </w:p>
    <w:p w14:paraId="15C50ECA" w14:textId="77777777" w:rsidR="004F4F74" w:rsidRPr="00895C72" w:rsidRDefault="007672A8" w:rsidP="00895C72">
      <w:pPr>
        <w:spacing w:after="0" w:line="240" w:lineRule="auto"/>
        <w:ind w:left="708"/>
        <w:jc w:val="both"/>
        <w:rPr>
          <w:rFonts w:ascii="Times New Roman" w:hAnsi="Times New Roman" w:cs="Times New Roman"/>
          <w:sz w:val="24"/>
          <w:szCs w:val="24"/>
        </w:rPr>
      </w:pPr>
      <w:r w:rsidRPr="00895C72">
        <w:rPr>
          <w:rFonts w:ascii="Times New Roman" w:hAnsi="Times New Roman" w:cs="Times New Roman"/>
          <w:sz w:val="24"/>
          <w:szCs w:val="24"/>
        </w:rPr>
        <w:t xml:space="preserve">2.2. Bajo reciclado de plásticos: muchos materiales y productos plásticos están diseñados para ser desechados sin tener en cuenta aspectos de eficiencia de recursos, como durabilidad, </w:t>
      </w:r>
      <w:proofErr w:type="spellStart"/>
      <w:r w:rsidRPr="00895C72">
        <w:rPr>
          <w:rFonts w:ascii="Times New Roman" w:hAnsi="Times New Roman" w:cs="Times New Roman"/>
          <w:sz w:val="24"/>
          <w:szCs w:val="24"/>
        </w:rPr>
        <w:t>reciclabilidad</w:t>
      </w:r>
      <w:proofErr w:type="spellEnd"/>
      <w:r w:rsidRPr="00895C72">
        <w:rPr>
          <w:rFonts w:ascii="Times New Roman" w:hAnsi="Times New Roman" w:cs="Times New Roman"/>
          <w:sz w:val="24"/>
          <w:szCs w:val="24"/>
        </w:rPr>
        <w:t xml:space="preserve">, reutilización o </w:t>
      </w:r>
      <w:proofErr w:type="spellStart"/>
      <w:r w:rsidRPr="00895C72">
        <w:rPr>
          <w:rFonts w:ascii="Times New Roman" w:hAnsi="Times New Roman" w:cs="Times New Roman"/>
          <w:sz w:val="24"/>
          <w:szCs w:val="24"/>
        </w:rPr>
        <w:t>reparabilidad</w:t>
      </w:r>
      <w:proofErr w:type="spellEnd"/>
      <w:r w:rsidRPr="00895C72">
        <w:rPr>
          <w:rFonts w:ascii="Times New Roman" w:hAnsi="Times New Roman" w:cs="Times New Roman"/>
          <w:sz w:val="24"/>
          <w:szCs w:val="24"/>
        </w:rPr>
        <w:t>. El diseño que facilita el reciclaje parece crucial, especialmente para plásticos de un solo uso además de la prevención.</w:t>
      </w:r>
    </w:p>
    <w:p w14:paraId="43D50FC2" w14:textId="77777777" w:rsidR="00024ADA" w:rsidRPr="00895C72" w:rsidRDefault="00024ADA" w:rsidP="00024ADA">
      <w:pPr>
        <w:spacing w:after="0" w:line="240" w:lineRule="auto"/>
        <w:jc w:val="both"/>
        <w:rPr>
          <w:rFonts w:ascii="Times New Roman" w:hAnsi="Times New Roman" w:cs="Times New Roman"/>
          <w:sz w:val="24"/>
          <w:szCs w:val="24"/>
        </w:rPr>
      </w:pPr>
    </w:p>
    <w:p w14:paraId="5FCA5E0A" w14:textId="77777777" w:rsidR="00024ADA" w:rsidRPr="00895C72" w:rsidRDefault="00024ADA" w:rsidP="00024ADA">
      <w:pPr>
        <w:spacing w:after="0" w:line="240" w:lineRule="auto"/>
        <w:jc w:val="both"/>
        <w:rPr>
          <w:rFonts w:ascii="Times New Roman" w:hAnsi="Times New Roman" w:cs="Times New Roman"/>
          <w:i/>
          <w:sz w:val="24"/>
          <w:szCs w:val="24"/>
        </w:rPr>
      </w:pPr>
      <w:r w:rsidRPr="00895C72">
        <w:rPr>
          <w:rFonts w:ascii="Times New Roman" w:hAnsi="Times New Roman" w:cs="Times New Roman"/>
          <w:i/>
          <w:sz w:val="24"/>
          <w:szCs w:val="24"/>
        </w:rPr>
        <w:t xml:space="preserve">3) Fuga significativa de plásticos en el medio ambiente </w:t>
      </w:r>
    </w:p>
    <w:p w14:paraId="71869A4B" w14:textId="77777777" w:rsidR="00024ADA" w:rsidRPr="00895C72" w:rsidRDefault="00024ADA" w:rsidP="00024ADA">
      <w:pPr>
        <w:spacing w:after="0" w:line="240" w:lineRule="auto"/>
        <w:jc w:val="both"/>
        <w:rPr>
          <w:rFonts w:ascii="Times New Roman" w:hAnsi="Times New Roman" w:cs="Times New Roman"/>
          <w:sz w:val="24"/>
          <w:szCs w:val="24"/>
        </w:rPr>
      </w:pPr>
    </w:p>
    <w:p w14:paraId="53DA2854" w14:textId="77777777" w:rsidR="00024ADA" w:rsidRPr="00895C72" w:rsidRDefault="00024ADA" w:rsidP="00024ADA">
      <w:pPr>
        <w:spacing w:after="0" w:line="240" w:lineRule="auto"/>
        <w:jc w:val="both"/>
        <w:rPr>
          <w:rFonts w:ascii="Times New Roman" w:hAnsi="Times New Roman" w:cs="Times New Roman"/>
          <w:sz w:val="24"/>
          <w:szCs w:val="24"/>
        </w:rPr>
      </w:pPr>
      <w:r w:rsidRPr="00895C72">
        <w:rPr>
          <w:rFonts w:ascii="Times New Roman" w:hAnsi="Times New Roman" w:cs="Times New Roman"/>
          <w:sz w:val="24"/>
          <w:szCs w:val="24"/>
        </w:rPr>
        <w:t xml:space="preserve">Se ha estimado que, en 2010, de 5 a 13 millones de toneladas de residuos de plástico terminan en el medio ambiente, en particular en los océanos. Se estima que los empaques de plástico representan la mayor proporción, ya que su peso, tamaño y bajo valor lo hacen propenso a la eliminación incontrolada. En lo que respecta a la basura marina, si bien las fuentes terrestres son predominantes, las fuentes marinas como el envío o la pesca no son insignificantes. Este problema es global, ya que la mayor parte de las fugas de plástico tiene lugar fuera de la UE (en particular en las economías asiáticas de rápido crecimiento) y se requieren esfuerzos colectivos. Nuevas fuentes de fugas de plástico, p. los productos de plástico de un solo uso y los </w:t>
      </w:r>
      <w:proofErr w:type="spellStart"/>
      <w:r w:rsidRPr="00895C72">
        <w:rPr>
          <w:rFonts w:ascii="Times New Roman" w:hAnsi="Times New Roman" w:cs="Times New Roman"/>
          <w:sz w:val="24"/>
          <w:szCs w:val="24"/>
        </w:rPr>
        <w:t>microplásticos</w:t>
      </w:r>
      <w:proofErr w:type="spellEnd"/>
      <w:r w:rsidRPr="00895C72">
        <w:rPr>
          <w:rFonts w:ascii="Times New Roman" w:hAnsi="Times New Roman" w:cs="Times New Roman"/>
          <w:sz w:val="24"/>
          <w:szCs w:val="24"/>
        </w:rPr>
        <w:t xml:space="preserve"> van en aumento, lo que plantea nuevas amenazas potenciales para la salud humana y animal. </w:t>
      </w:r>
      <w:proofErr w:type="spellStart"/>
      <w:r w:rsidRPr="00895C72">
        <w:rPr>
          <w:rFonts w:ascii="Times New Roman" w:hAnsi="Times New Roman" w:cs="Times New Roman"/>
          <w:sz w:val="24"/>
          <w:szCs w:val="24"/>
        </w:rPr>
        <w:t>Microplástico</w:t>
      </w:r>
      <w:proofErr w:type="spellEnd"/>
      <w:r w:rsidRPr="00895C72">
        <w:rPr>
          <w:rFonts w:ascii="Times New Roman" w:hAnsi="Times New Roman" w:cs="Times New Roman"/>
          <w:sz w:val="24"/>
          <w:szCs w:val="24"/>
        </w:rPr>
        <w:t xml:space="preserve">: se usa intencionalmente en productos o se genera durante el ciclo de vida de los productos, p. a través del desgaste de los neumáticos del automóvil o del lavado de la ropa - son especialmente preocupantes ya que su pequeño tamaño (menos de 5 mm) aumenta su toxicidad potencial. </w:t>
      </w:r>
    </w:p>
    <w:p w14:paraId="734A0CBB" w14:textId="77777777" w:rsidR="00024ADA" w:rsidRPr="00895C72" w:rsidRDefault="00024ADA" w:rsidP="00024ADA">
      <w:pPr>
        <w:spacing w:after="0" w:line="240" w:lineRule="auto"/>
        <w:jc w:val="both"/>
        <w:rPr>
          <w:rFonts w:ascii="Times New Roman" w:hAnsi="Times New Roman" w:cs="Times New Roman"/>
          <w:sz w:val="24"/>
          <w:szCs w:val="24"/>
        </w:rPr>
      </w:pPr>
    </w:p>
    <w:p w14:paraId="7AD7698D" w14:textId="77777777" w:rsidR="00024ADA" w:rsidRPr="00895C72" w:rsidRDefault="00024ADA" w:rsidP="00895C72">
      <w:pPr>
        <w:spacing w:after="0" w:line="240" w:lineRule="auto"/>
        <w:ind w:left="708"/>
        <w:jc w:val="both"/>
        <w:rPr>
          <w:rFonts w:ascii="Times New Roman" w:hAnsi="Times New Roman" w:cs="Times New Roman"/>
          <w:sz w:val="24"/>
          <w:szCs w:val="24"/>
        </w:rPr>
      </w:pPr>
      <w:r w:rsidRPr="00895C72">
        <w:rPr>
          <w:rFonts w:ascii="Times New Roman" w:hAnsi="Times New Roman" w:cs="Times New Roman"/>
          <w:sz w:val="24"/>
          <w:szCs w:val="24"/>
        </w:rPr>
        <w:t xml:space="preserve">3.1. Impactos negativos en la biodiversidad, la salud humana y la economía relacionadas con los recursos marinos: el nivel de contaminación marina con desechos plásticos y </w:t>
      </w:r>
      <w:proofErr w:type="spellStart"/>
      <w:r w:rsidRPr="00895C72">
        <w:rPr>
          <w:rFonts w:ascii="Times New Roman" w:hAnsi="Times New Roman" w:cs="Times New Roman"/>
          <w:sz w:val="24"/>
          <w:szCs w:val="24"/>
        </w:rPr>
        <w:t>microplásticos</w:t>
      </w:r>
      <w:proofErr w:type="spellEnd"/>
      <w:r w:rsidRPr="00895C72">
        <w:rPr>
          <w:rFonts w:ascii="Times New Roman" w:hAnsi="Times New Roman" w:cs="Times New Roman"/>
          <w:sz w:val="24"/>
          <w:szCs w:val="24"/>
        </w:rPr>
        <w:t xml:space="preserve"> es alarmante. Los </w:t>
      </w:r>
      <w:proofErr w:type="spellStart"/>
      <w:r w:rsidRPr="00895C72">
        <w:rPr>
          <w:rFonts w:ascii="Times New Roman" w:hAnsi="Times New Roman" w:cs="Times New Roman"/>
          <w:sz w:val="24"/>
          <w:szCs w:val="24"/>
        </w:rPr>
        <w:t>microplásticos</w:t>
      </w:r>
      <w:proofErr w:type="spellEnd"/>
      <w:r w:rsidRPr="00895C72">
        <w:rPr>
          <w:rFonts w:ascii="Times New Roman" w:hAnsi="Times New Roman" w:cs="Times New Roman"/>
          <w:sz w:val="24"/>
          <w:szCs w:val="24"/>
        </w:rPr>
        <w:t xml:space="preserve"> están entrando a la cadena alimenticia con consecuencias aún desconocidas. El plan de acción de economía circular se refiere a un aspirante a un objetivo de reducción del 30% para los artículos de arena encontrados en las playas y para los artes de pesca que se encuentran en el mar. </w:t>
      </w:r>
    </w:p>
    <w:p w14:paraId="34F93DBC" w14:textId="77777777" w:rsidR="00024ADA" w:rsidRPr="00895C72" w:rsidRDefault="00024ADA" w:rsidP="00895C72">
      <w:pPr>
        <w:spacing w:after="0" w:line="240" w:lineRule="auto"/>
        <w:ind w:left="708"/>
        <w:jc w:val="both"/>
        <w:rPr>
          <w:rFonts w:ascii="Times New Roman" w:hAnsi="Times New Roman" w:cs="Times New Roman"/>
          <w:sz w:val="24"/>
          <w:szCs w:val="24"/>
        </w:rPr>
      </w:pPr>
    </w:p>
    <w:p w14:paraId="58C22458" w14:textId="77777777" w:rsidR="00024ADA" w:rsidRPr="00895C72" w:rsidRDefault="00024ADA" w:rsidP="00895C72">
      <w:pPr>
        <w:spacing w:after="0" w:line="240" w:lineRule="auto"/>
        <w:ind w:left="708"/>
        <w:jc w:val="both"/>
        <w:rPr>
          <w:rFonts w:ascii="Times New Roman" w:hAnsi="Times New Roman" w:cs="Times New Roman"/>
          <w:sz w:val="24"/>
          <w:szCs w:val="24"/>
        </w:rPr>
      </w:pPr>
      <w:r w:rsidRPr="00895C72">
        <w:rPr>
          <w:rFonts w:ascii="Times New Roman" w:hAnsi="Times New Roman" w:cs="Times New Roman"/>
          <w:sz w:val="24"/>
          <w:szCs w:val="24"/>
        </w:rPr>
        <w:t xml:space="preserve">3.2. Falta de un marco de sostenibilidad claro para los plásticos biodegradables: los plásticos biodegradables podrían ser un desarrollo positivo en circunstancias específicas, pero podrían agravar la negligencia del consumidor, el problema de fugas existente, la liberación de </w:t>
      </w:r>
      <w:proofErr w:type="spellStart"/>
      <w:r w:rsidRPr="00895C72">
        <w:rPr>
          <w:rFonts w:ascii="Times New Roman" w:hAnsi="Times New Roman" w:cs="Times New Roman"/>
          <w:sz w:val="24"/>
          <w:szCs w:val="24"/>
        </w:rPr>
        <w:t>microplásticos</w:t>
      </w:r>
      <w:proofErr w:type="spellEnd"/>
      <w:r w:rsidRPr="00895C72">
        <w:rPr>
          <w:rFonts w:ascii="Times New Roman" w:hAnsi="Times New Roman" w:cs="Times New Roman"/>
          <w:sz w:val="24"/>
          <w:szCs w:val="24"/>
        </w:rPr>
        <w:t xml:space="preserve"> en suelos y agua y el riesgo de contaminación cruzada del plástico convencional corrientes de residuos. Se necesita trabajo sobre definiciones y estándares (biodegradable, </w:t>
      </w:r>
      <w:proofErr w:type="spellStart"/>
      <w:r w:rsidRPr="00895C72">
        <w:rPr>
          <w:rFonts w:ascii="Times New Roman" w:hAnsi="Times New Roman" w:cs="Times New Roman"/>
          <w:sz w:val="24"/>
          <w:szCs w:val="24"/>
        </w:rPr>
        <w:t>compostable</w:t>
      </w:r>
      <w:proofErr w:type="spellEnd"/>
      <w:r w:rsidRPr="00895C72">
        <w:rPr>
          <w:rFonts w:ascii="Times New Roman" w:hAnsi="Times New Roman" w:cs="Times New Roman"/>
          <w:sz w:val="24"/>
          <w:szCs w:val="24"/>
        </w:rPr>
        <w:t xml:space="preserve">, casero). El plástico </w:t>
      </w:r>
      <w:proofErr w:type="spellStart"/>
      <w:r w:rsidRPr="00895C72">
        <w:rPr>
          <w:rFonts w:ascii="Times New Roman" w:hAnsi="Times New Roman" w:cs="Times New Roman"/>
          <w:sz w:val="24"/>
          <w:szCs w:val="24"/>
        </w:rPr>
        <w:t>oxo</w:t>
      </w:r>
      <w:proofErr w:type="spellEnd"/>
      <w:r w:rsidRPr="00895C72">
        <w:rPr>
          <w:rFonts w:ascii="Times New Roman" w:hAnsi="Times New Roman" w:cs="Times New Roman"/>
          <w:sz w:val="24"/>
          <w:szCs w:val="24"/>
        </w:rPr>
        <w:t xml:space="preserve">-degradable se fragmenta con el tiempo en pequeñas partículas que permanecen en el ambiente y pueden aumentar la contaminación. La Directiva 2015/720 sobre bolsas de plástico exige que la Comisión presente un informe que examine el impacto del uso de bolsas de plástico </w:t>
      </w:r>
      <w:proofErr w:type="spellStart"/>
      <w:r w:rsidRPr="00895C72">
        <w:rPr>
          <w:rFonts w:ascii="Times New Roman" w:hAnsi="Times New Roman" w:cs="Times New Roman"/>
          <w:sz w:val="24"/>
          <w:szCs w:val="24"/>
        </w:rPr>
        <w:t>oxo</w:t>
      </w:r>
      <w:proofErr w:type="spellEnd"/>
      <w:r w:rsidRPr="00895C72">
        <w:rPr>
          <w:rFonts w:ascii="Times New Roman" w:hAnsi="Times New Roman" w:cs="Times New Roman"/>
          <w:sz w:val="24"/>
          <w:szCs w:val="24"/>
        </w:rPr>
        <w:t xml:space="preserve">-degradables en el medio ambiente. </w:t>
      </w:r>
    </w:p>
    <w:p w14:paraId="2AF93603" w14:textId="77777777" w:rsidR="00024ADA" w:rsidRPr="00895C72" w:rsidRDefault="00024ADA" w:rsidP="00895C72">
      <w:pPr>
        <w:spacing w:after="0" w:line="240" w:lineRule="auto"/>
        <w:ind w:left="708"/>
        <w:jc w:val="both"/>
        <w:rPr>
          <w:rFonts w:ascii="Times New Roman" w:hAnsi="Times New Roman" w:cs="Times New Roman"/>
          <w:sz w:val="24"/>
          <w:szCs w:val="24"/>
        </w:rPr>
      </w:pPr>
    </w:p>
    <w:p w14:paraId="3599D61A" w14:textId="77777777" w:rsidR="00024ADA" w:rsidRPr="00895C72" w:rsidRDefault="00024ADA" w:rsidP="00895C72">
      <w:pPr>
        <w:spacing w:after="0" w:line="240" w:lineRule="auto"/>
        <w:ind w:left="708"/>
        <w:jc w:val="both"/>
        <w:rPr>
          <w:rFonts w:ascii="Times New Roman" w:hAnsi="Times New Roman" w:cs="Times New Roman"/>
          <w:sz w:val="24"/>
          <w:szCs w:val="24"/>
        </w:rPr>
      </w:pPr>
      <w:r w:rsidRPr="00895C72">
        <w:rPr>
          <w:rFonts w:ascii="Times New Roman" w:hAnsi="Times New Roman" w:cs="Times New Roman"/>
          <w:sz w:val="24"/>
          <w:szCs w:val="24"/>
        </w:rPr>
        <w:t xml:space="preserve">3.3. Bajos niveles de conciencia de los consumidores: existen pocos incentivos para que los consumidores mantengan los desechos plásticos en circuitos controlados. Los programas educativos y de sensibilización, así como los planes de responsabilidad ampliada del productor también son factores importantes. Una </w:t>
      </w:r>
      <w:r w:rsidRPr="00895C72">
        <w:rPr>
          <w:rFonts w:ascii="Times New Roman" w:hAnsi="Times New Roman" w:cs="Times New Roman"/>
          <w:sz w:val="24"/>
          <w:szCs w:val="24"/>
        </w:rPr>
        <w:lastRenderedPageBreak/>
        <w:t>mejor información debería permitir a los consumidores tomar decisiones de compra de productos de plástico más sostenibles, incluidos los desechables.</w:t>
      </w:r>
    </w:p>
    <w:p w14:paraId="69B76215" w14:textId="77777777" w:rsidR="00024ADA" w:rsidRPr="00895C72" w:rsidRDefault="00024ADA" w:rsidP="00024ADA">
      <w:pPr>
        <w:spacing w:after="0" w:line="240" w:lineRule="auto"/>
        <w:jc w:val="both"/>
        <w:rPr>
          <w:rFonts w:ascii="Times New Roman" w:hAnsi="Times New Roman" w:cs="Times New Roman"/>
          <w:sz w:val="24"/>
          <w:szCs w:val="24"/>
        </w:rPr>
      </w:pPr>
    </w:p>
    <w:p w14:paraId="3B3ABA23" w14:textId="77777777" w:rsidR="00024ADA" w:rsidRPr="00895C72" w:rsidRDefault="00024ADA" w:rsidP="00B80BEC">
      <w:pPr>
        <w:pStyle w:val="Ttulo2"/>
        <w:rPr>
          <w:rFonts w:ascii="Times New Roman" w:hAnsi="Times New Roman" w:cs="Times New Roman"/>
          <w:sz w:val="24"/>
          <w:szCs w:val="24"/>
        </w:rPr>
      </w:pPr>
      <w:bookmarkStart w:id="3" w:name="_Toc496510312"/>
      <w:r w:rsidRPr="00895C72">
        <w:rPr>
          <w:rFonts w:ascii="Times New Roman" w:hAnsi="Times New Roman" w:cs="Times New Roman"/>
          <w:sz w:val="24"/>
          <w:szCs w:val="24"/>
        </w:rPr>
        <w:t>B. Qué pretende lograr la iniciativa y cómo</w:t>
      </w:r>
      <w:bookmarkEnd w:id="3"/>
    </w:p>
    <w:p w14:paraId="5703A9E1" w14:textId="77777777" w:rsidR="00024ADA" w:rsidRPr="00895C72" w:rsidRDefault="00024ADA" w:rsidP="00024ADA">
      <w:pPr>
        <w:spacing w:after="0" w:line="240" w:lineRule="auto"/>
        <w:jc w:val="both"/>
        <w:rPr>
          <w:rFonts w:ascii="Times New Roman" w:hAnsi="Times New Roman" w:cs="Times New Roman"/>
          <w:sz w:val="24"/>
          <w:szCs w:val="24"/>
        </w:rPr>
      </w:pPr>
    </w:p>
    <w:p w14:paraId="4298FC6C" w14:textId="77777777" w:rsidR="00024ADA" w:rsidRPr="00895C72" w:rsidRDefault="00024ADA" w:rsidP="00024ADA">
      <w:pPr>
        <w:spacing w:after="0" w:line="240" w:lineRule="auto"/>
        <w:jc w:val="both"/>
        <w:rPr>
          <w:rFonts w:ascii="Times New Roman" w:hAnsi="Times New Roman" w:cs="Times New Roman"/>
          <w:sz w:val="24"/>
          <w:szCs w:val="24"/>
        </w:rPr>
      </w:pPr>
      <w:r w:rsidRPr="00895C72">
        <w:rPr>
          <w:rFonts w:ascii="Times New Roman" w:hAnsi="Times New Roman" w:cs="Times New Roman"/>
          <w:sz w:val="24"/>
          <w:szCs w:val="24"/>
        </w:rPr>
        <w:t>La estrategia apunta a (1) desacoplar la producción de plásticos de materias primas fósiles vírgenes y reducir sus impactos de GEI (2) mejorando la economía, la calidad y la absorción del reciclaje y la reutilización de plásticos, y (3) reduciendo las fugas de plástico en el medioambiente. La consecución de estos objetivos debería contribuir directamente a la aplicación del plan de acción de economía circular, pero también a la agenda de empleo y crecimiento de la UE y la visión de la Unión de la Energía de una economía de bajo consumo de carbono y energía. La estrategia y el cumplimiento de sus objetivos también contribuirán a la implementación de acciones bajo la Agenda 2030 de la ONU, más específicamente hacia el logro de los Objetivos de Desarrollo Sostenible 3 (3.9), 6 (6.3 y 6.6), 8 (8.7), 9 (</w:t>
      </w:r>
      <w:proofErr w:type="gramStart"/>
      <w:r w:rsidRPr="00895C72">
        <w:rPr>
          <w:rFonts w:ascii="Times New Roman" w:hAnsi="Times New Roman" w:cs="Times New Roman"/>
          <w:sz w:val="24"/>
          <w:szCs w:val="24"/>
        </w:rPr>
        <w:t>9.4 )</w:t>
      </w:r>
      <w:proofErr w:type="gramEnd"/>
      <w:r w:rsidRPr="00895C72">
        <w:rPr>
          <w:rFonts w:ascii="Times New Roman" w:hAnsi="Times New Roman" w:cs="Times New Roman"/>
          <w:sz w:val="24"/>
          <w:szCs w:val="24"/>
        </w:rPr>
        <w:t>, 12 (12.4 y 12.5) y 14 (14.1) 6. De hecho, la Estrategia debería tratar de mejorar las condiciones marco para inversiones e innovaciones que permitan que las industrias plásticas y relacionadas y toda la cadena de valor utilizando plásticos se vuelvan más circulares, más eficientes en cuanto a los recursos y reduzcan su huella de carbono, de acuerdo con los objetivos climáticos y energéticos de la UE. Exigirá la innovación de todo el sistema de plásticos, basado en una visión compartida y una cooperación reforzada entre todos los interesados. En la preparación de la estrategia, se explorarán una serie de diferentes acciones con el fin de identificar aquellos con el mayor valor añadido de la UE y el mayor impacto para abordar los problemas identificados</w:t>
      </w:r>
      <w:r w:rsidR="00895C72" w:rsidRPr="00895C72">
        <w:rPr>
          <w:rStyle w:val="Refdenotaalpie"/>
          <w:rFonts w:ascii="Times New Roman" w:hAnsi="Times New Roman" w:cs="Times New Roman"/>
          <w:sz w:val="24"/>
          <w:szCs w:val="24"/>
        </w:rPr>
        <w:footnoteReference w:id="3"/>
      </w:r>
      <w:r w:rsidRPr="00895C72">
        <w:rPr>
          <w:rFonts w:ascii="Times New Roman" w:hAnsi="Times New Roman" w:cs="Times New Roman"/>
          <w:sz w:val="24"/>
          <w:szCs w:val="24"/>
        </w:rPr>
        <w:t>.</w:t>
      </w:r>
    </w:p>
    <w:p w14:paraId="0218935B" w14:textId="77777777" w:rsidR="00024ADA" w:rsidRPr="00895C72" w:rsidRDefault="00024ADA" w:rsidP="00024ADA">
      <w:pPr>
        <w:spacing w:after="0" w:line="240" w:lineRule="auto"/>
        <w:jc w:val="both"/>
        <w:rPr>
          <w:rFonts w:ascii="Times New Roman" w:hAnsi="Times New Roman" w:cs="Times New Roman"/>
          <w:sz w:val="24"/>
          <w:szCs w:val="24"/>
        </w:rPr>
      </w:pPr>
    </w:p>
    <w:p w14:paraId="03D9AE8D" w14:textId="77777777" w:rsidR="00895C72" w:rsidRPr="00895C72" w:rsidRDefault="00895C72" w:rsidP="00895C72">
      <w:pPr>
        <w:pStyle w:val="Ttulo1"/>
        <w:rPr>
          <w:rFonts w:ascii="Times New Roman" w:hAnsi="Times New Roman" w:cs="Times New Roman"/>
          <w:sz w:val="24"/>
          <w:szCs w:val="24"/>
        </w:rPr>
      </w:pPr>
      <w:bookmarkStart w:id="4" w:name="_Toc496510313"/>
      <w:r w:rsidRPr="00895C72">
        <w:rPr>
          <w:rFonts w:ascii="Times New Roman" w:hAnsi="Times New Roman" w:cs="Times New Roman"/>
          <w:sz w:val="24"/>
          <w:szCs w:val="24"/>
        </w:rPr>
        <w:t>Redes y otros contactos de interés UE</w:t>
      </w:r>
      <w:bookmarkEnd w:id="4"/>
    </w:p>
    <w:p w14:paraId="510A1C4F" w14:textId="77777777" w:rsidR="00895C72" w:rsidRPr="00895C72" w:rsidRDefault="00895C72" w:rsidP="00895C72">
      <w:pPr>
        <w:rPr>
          <w:rFonts w:ascii="Times New Roman" w:hAnsi="Times New Roman" w:cs="Times New Roman"/>
          <w:sz w:val="24"/>
          <w:szCs w:val="24"/>
        </w:rPr>
      </w:pPr>
    </w:p>
    <w:tbl>
      <w:tblPr>
        <w:tblStyle w:val="Tabladecuadrcula5oscura-nfasis5"/>
        <w:tblW w:w="6342" w:type="pct"/>
        <w:tblInd w:w="-998" w:type="dxa"/>
        <w:tblLook w:val="04A0" w:firstRow="1" w:lastRow="0" w:firstColumn="1" w:lastColumn="0" w:noHBand="0" w:noVBand="1"/>
      </w:tblPr>
      <w:tblGrid>
        <w:gridCol w:w="4149"/>
        <w:gridCol w:w="6625"/>
      </w:tblGrid>
      <w:tr w:rsidR="00895C72" w:rsidRPr="00895C72" w14:paraId="30F903FE" w14:textId="77777777" w:rsidTr="00895C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1" w:type="pct"/>
          </w:tcPr>
          <w:p w14:paraId="0BECDF4E" w14:textId="77777777" w:rsidR="00895C72" w:rsidRPr="00895C72" w:rsidRDefault="00895C72" w:rsidP="00895C72">
            <w:pPr>
              <w:jc w:val="center"/>
              <w:rPr>
                <w:rFonts w:ascii="Times New Roman" w:hAnsi="Times New Roman" w:cs="Times New Roman"/>
                <w:b w:val="0"/>
                <w:sz w:val="24"/>
                <w:szCs w:val="24"/>
              </w:rPr>
            </w:pPr>
            <w:r w:rsidRPr="00895C72">
              <w:rPr>
                <w:rFonts w:ascii="Times New Roman" w:hAnsi="Times New Roman" w:cs="Times New Roman"/>
                <w:b w:val="0"/>
                <w:sz w:val="24"/>
                <w:szCs w:val="24"/>
              </w:rPr>
              <w:t>Nombre</w:t>
            </w:r>
          </w:p>
        </w:tc>
        <w:tc>
          <w:tcPr>
            <w:tcW w:w="3199" w:type="pct"/>
          </w:tcPr>
          <w:p w14:paraId="193F6B03" w14:textId="77777777" w:rsidR="00895C72" w:rsidRPr="00895C72" w:rsidRDefault="00895C72" w:rsidP="00895C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95C72">
              <w:rPr>
                <w:rFonts w:ascii="Times New Roman" w:hAnsi="Times New Roman" w:cs="Times New Roman"/>
                <w:sz w:val="24"/>
                <w:szCs w:val="24"/>
              </w:rPr>
              <w:t>Descripción</w:t>
            </w:r>
          </w:p>
        </w:tc>
      </w:tr>
      <w:tr w:rsidR="00895C72" w:rsidRPr="00895C72" w14:paraId="7690BAF2" w14:textId="77777777" w:rsidTr="00895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1" w:type="pct"/>
          </w:tcPr>
          <w:p w14:paraId="5C1B0010" w14:textId="77777777" w:rsidR="00895C72" w:rsidRPr="00895C72" w:rsidRDefault="00895C72" w:rsidP="002361C1">
            <w:pPr>
              <w:jc w:val="both"/>
              <w:rPr>
                <w:rFonts w:ascii="Times New Roman" w:hAnsi="Times New Roman" w:cs="Times New Roman"/>
                <w:color w:val="auto"/>
                <w:sz w:val="24"/>
                <w:szCs w:val="24"/>
                <w:lang w:val="fr-BE"/>
              </w:rPr>
            </w:pPr>
            <w:proofErr w:type="spellStart"/>
            <w:r w:rsidRPr="00895C72">
              <w:rPr>
                <w:rFonts w:ascii="Times New Roman" w:hAnsi="Times New Roman" w:cs="Times New Roman"/>
                <w:color w:val="auto"/>
                <w:sz w:val="24"/>
                <w:szCs w:val="24"/>
                <w:lang w:val="fr-BE"/>
              </w:rPr>
              <w:t>Reloop</w:t>
            </w:r>
            <w:proofErr w:type="spellEnd"/>
            <w:r w:rsidRPr="00895C72">
              <w:rPr>
                <w:rFonts w:ascii="Times New Roman" w:hAnsi="Times New Roman" w:cs="Times New Roman"/>
                <w:color w:val="auto"/>
                <w:sz w:val="24"/>
                <w:szCs w:val="24"/>
                <w:lang w:val="fr-BE"/>
              </w:rPr>
              <w:t xml:space="preserve"> </w:t>
            </w:r>
          </w:p>
          <w:p w14:paraId="12DE4905" w14:textId="77777777" w:rsidR="00895C72" w:rsidRPr="00895C72" w:rsidRDefault="00895C72" w:rsidP="002361C1">
            <w:pPr>
              <w:jc w:val="both"/>
              <w:rPr>
                <w:rFonts w:ascii="Times New Roman" w:hAnsi="Times New Roman" w:cs="Times New Roman"/>
                <w:b w:val="0"/>
                <w:color w:val="auto"/>
                <w:sz w:val="24"/>
                <w:szCs w:val="24"/>
                <w:lang w:val="fr-BE"/>
              </w:rPr>
            </w:pPr>
          </w:p>
          <w:p w14:paraId="74A40B2C" w14:textId="77777777" w:rsidR="00895C72" w:rsidRPr="00895C72" w:rsidRDefault="00895C72" w:rsidP="002361C1">
            <w:pPr>
              <w:jc w:val="both"/>
              <w:rPr>
                <w:rFonts w:ascii="Times New Roman" w:hAnsi="Times New Roman" w:cs="Times New Roman"/>
                <w:b w:val="0"/>
                <w:color w:val="auto"/>
                <w:sz w:val="24"/>
                <w:szCs w:val="24"/>
                <w:lang w:val="fr-BE"/>
              </w:rPr>
            </w:pPr>
            <w:hyperlink r:id="rId8" w:history="1">
              <w:r w:rsidRPr="00895C72">
                <w:rPr>
                  <w:rStyle w:val="Hipervnculo"/>
                  <w:rFonts w:ascii="Times New Roman" w:hAnsi="Times New Roman" w:cs="Times New Roman"/>
                  <w:b w:val="0"/>
                  <w:color w:val="auto"/>
                  <w:sz w:val="24"/>
                  <w:szCs w:val="24"/>
                  <w:lang w:val="fr-BE"/>
                </w:rPr>
                <w:t>http://reloopplatform.eu</w:t>
              </w:r>
            </w:hyperlink>
            <w:r w:rsidRPr="00895C72">
              <w:rPr>
                <w:rFonts w:ascii="Times New Roman" w:hAnsi="Times New Roman" w:cs="Times New Roman"/>
                <w:b w:val="0"/>
                <w:color w:val="auto"/>
                <w:sz w:val="24"/>
                <w:szCs w:val="24"/>
              </w:rPr>
              <w:t xml:space="preserve"> </w:t>
            </w:r>
          </w:p>
          <w:p w14:paraId="544D8654" w14:textId="77777777" w:rsidR="00895C72" w:rsidRPr="00895C72" w:rsidRDefault="00895C72" w:rsidP="002361C1">
            <w:pPr>
              <w:jc w:val="both"/>
              <w:rPr>
                <w:rFonts w:ascii="Times New Roman" w:hAnsi="Times New Roman" w:cs="Times New Roman"/>
                <w:b w:val="0"/>
                <w:color w:val="auto"/>
                <w:sz w:val="24"/>
                <w:szCs w:val="24"/>
                <w:lang w:val="fr-BE"/>
              </w:rPr>
            </w:pPr>
          </w:p>
          <w:p w14:paraId="3D271B5C" w14:textId="77777777" w:rsidR="00895C72" w:rsidRPr="00F13A3D" w:rsidRDefault="00895C72" w:rsidP="002361C1">
            <w:pPr>
              <w:jc w:val="both"/>
              <w:rPr>
                <w:rFonts w:ascii="Times New Roman" w:hAnsi="Times New Roman" w:cs="Times New Roman"/>
                <w:b w:val="0"/>
                <w:color w:val="auto"/>
                <w:sz w:val="24"/>
                <w:szCs w:val="24"/>
                <w:lang w:val="fr-BE"/>
              </w:rPr>
            </w:pPr>
            <w:r w:rsidRPr="00F13A3D">
              <w:rPr>
                <w:rFonts w:ascii="Times New Roman" w:hAnsi="Times New Roman" w:cs="Times New Roman"/>
                <w:b w:val="0"/>
                <w:color w:val="auto"/>
                <w:sz w:val="24"/>
                <w:szCs w:val="24"/>
                <w:lang w:val="fr-BE"/>
              </w:rPr>
              <w:t>BRUSSELS</w:t>
            </w:r>
          </w:p>
          <w:p w14:paraId="20515FE8" w14:textId="77777777" w:rsidR="00895C72" w:rsidRPr="00895C72" w:rsidRDefault="00895C72" w:rsidP="002361C1">
            <w:pPr>
              <w:jc w:val="both"/>
              <w:rPr>
                <w:rFonts w:ascii="Times New Roman" w:hAnsi="Times New Roman" w:cs="Times New Roman"/>
                <w:b w:val="0"/>
                <w:color w:val="auto"/>
                <w:sz w:val="24"/>
                <w:szCs w:val="24"/>
                <w:lang w:val="fr-BE"/>
              </w:rPr>
            </w:pPr>
            <w:r w:rsidRPr="00F13A3D">
              <w:rPr>
                <w:rFonts w:ascii="Times New Roman" w:hAnsi="Times New Roman" w:cs="Times New Roman"/>
                <w:b w:val="0"/>
                <w:color w:val="auto"/>
                <w:sz w:val="24"/>
                <w:szCs w:val="24"/>
                <w:lang w:val="fr-BE"/>
              </w:rPr>
              <w:t>Rue du Congrès, 37-41 Brussels, B-1000</w:t>
            </w:r>
          </w:p>
          <w:p w14:paraId="6CD905B2" w14:textId="77777777" w:rsidR="00895C72" w:rsidRPr="00F13A3D" w:rsidRDefault="00895C72" w:rsidP="002361C1">
            <w:pPr>
              <w:jc w:val="both"/>
              <w:rPr>
                <w:rFonts w:ascii="Times New Roman" w:hAnsi="Times New Roman" w:cs="Times New Roman"/>
                <w:b w:val="0"/>
                <w:color w:val="auto"/>
                <w:sz w:val="24"/>
                <w:szCs w:val="24"/>
                <w:lang w:val="fr-BE"/>
              </w:rPr>
            </w:pPr>
          </w:p>
          <w:p w14:paraId="5CBC6344" w14:textId="77777777" w:rsidR="00895C72" w:rsidRPr="00F13A3D" w:rsidRDefault="00895C72" w:rsidP="002361C1">
            <w:pPr>
              <w:jc w:val="both"/>
              <w:rPr>
                <w:rFonts w:ascii="Times New Roman" w:hAnsi="Times New Roman" w:cs="Times New Roman"/>
                <w:b w:val="0"/>
                <w:color w:val="auto"/>
                <w:sz w:val="24"/>
                <w:szCs w:val="24"/>
              </w:rPr>
            </w:pPr>
            <w:r w:rsidRPr="00F13A3D">
              <w:rPr>
                <w:rFonts w:ascii="Times New Roman" w:hAnsi="Times New Roman" w:cs="Times New Roman"/>
                <w:b w:val="0"/>
                <w:color w:val="auto"/>
                <w:sz w:val="24"/>
                <w:szCs w:val="24"/>
              </w:rPr>
              <w:t>BARCELONA</w:t>
            </w:r>
          </w:p>
          <w:p w14:paraId="42390D3B" w14:textId="77777777" w:rsidR="00895C72" w:rsidRPr="00F13A3D" w:rsidRDefault="00895C72" w:rsidP="002361C1">
            <w:pPr>
              <w:jc w:val="both"/>
              <w:rPr>
                <w:rFonts w:ascii="Times New Roman" w:hAnsi="Times New Roman" w:cs="Times New Roman"/>
                <w:b w:val="0"/>
                <w:color w:val="auto"/>
                <w:sz w:val="24"/>
                <w:szCs w:val="24"/>
              </w:rPr>
            </w:pPr>
            <w:r w:rsidRPr="00F13A3D">
              <w:rPr>
                <w:rFonts w:ascii="Times New Roman" w:hAnsi="Times New Roman" w:cs="Times New Roman"/>
                <w:b w:val="0"/>
                <w:color w:val="auto"/>
                <w:sz w:val="24"/>
                <w:szCs w:val="24"/>
              </w:rPr>
              <w:t xml:space="preserve">Gran </w:t>
            </w:r>
            <w:proofErr w:type="spellStart"/>
            <w:r w:rsidRPr="00F13A3D">
              <w:rPr>
                <w:rFonts w:ascii="Times New Roman" w:hAnsi="Times New Roman" w:cs="Times New Roman"/>
                <w:b w:val="0"/>
                <w:color w:val="auto"/>
                <w:sz w:val="24"/>
                <w:szCs w:val="24"/>
              </w:rPr>
              <w:t>Via</w:t>
            </w:r>
            <w:proofErr w:type="spellEnd"/>
            <w:r w:rsidRPr="00F13A3D">
              <w:rPr>
                <w:rFonts w:ascii="Times New Roman" w:hAnsi="Times New Roman" w:cs="Times New Roman"/>
                <w:b w:val="0"/>
                <w:color w:val="auto"/>
                <w:sz w:val="24"/>
                <w:szCs w:val="24"/>
              </w:rPr>
              <w:t xml:space="preserve"> de les Corts Catalanes, 733, 7-1, Barcelona, 08013</w:t>
            </w:r>
          </w:p>
          <w:p w14:paraId="21BD6EFF" w14:textId="77777777" w:rsidR="00895C72" w:rsidRPr="00895C72" w:rsidRDefault="00895C72" w:rsidP="002361C1">
            <w:pPr>
              <w:jc w:val="both"/>
              <w:rPr>
                <w:rFonts w:ascii="Times New Roman" w:hAnsi="Times New Roman" w:cs="Times New Roman"/>
                <w:b w:val="0"/>
                <w:color w:val="auto"/>
                <w:sz w:val="24"/>
                <w:szCs w:val="24"/>
              </w:rPr>
            </w:pPr>
          </w:p>
        </w:tc>
        <w:tc>
          <w:tcPr>
            <w:tcW w:w="3199" w:type="pct"/>
            <w:vAlign w:val="center"/>
          </w:tcPr>
          <w:p w14:paraId="7B57E8F3" w14:textId="77777777" w:rsidR="00895C72" w:rsidRPr="00895C72" w:rsidRDefault="00895C72" w:rsidP="00895C7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95C72">
              <w:rPr>
                <w:rFonts w:ascii="Times New Roman" w:hAnsi="Times New Roman" w:cs="Times New Roman"/>
                <w:sz w:val="24"/>
                <w:szCs w:val="24"/>
              </w:rPr>
              <w:t xml:space="preserve">Los miembros reúnen a la industria, el gobierno y las organizaciones no gubernamentales para formar una red de avances en las políticas que crean las condiciones propicias del sistema para la circularidad en toda la economía europea. La red pretende funcionar como un catalizador para generar oportunidades económicas y ambientales para todos los interesados en la cadena de valor. Esto incluye productores, distribuidores, recicladores, instituciones académicas, ONG, sindicatos, regiones verdes o ciudades. </w:t>
            </w:r>
            <w:proofErr w:type="spellStart"/>
            <w:r w:rsidRPr="00895C72">
              <w:rPr>
                <w:rFonts w:ascii="Times New Roman" w:hAnsi="Times New Roman" w:cs="Times New Roman"/>
                <w:sz w:val="24"/>
                <w:szCs w:val="24"/>
              </w:rPr>
              <w:t>Reloop</w:t>
            </w:r>
            <w:proofErr w:type="spellEnd"/>
            <w:r w:rsidRPr="00895C72">
              <w:rPr>
                <w:rFonts w:ascii="Times New Roman" w:hAnsi="Times New Roman" w:cs="Times New Roman"/>
                <w:sz w:val="24"/>
                <w:szCs w:val="24"/>
              </w:rPr>
              <w:t xml:space="preserve"> nace para conectar a las partes interesadas, permitir el intercambio de información para informar a los interesados e influir en los responsables de la toma de decisiones para que adopten políticas que funcionen hacia la implementación de políticas y sistemas que promuevan una economía circular.</w:t>
            </w:r>
          </w:p>
        </w:tc>
      </w:tr>
      <w:tr w:rsidR="00895C72" w:rsidRPr="00895C72" w14:paraId="67731D3F" w14:textId="77777777" w:rsidTr="00895C72">
        <w:tc>
          <w:tcPr>
            <w:cnfStyle w:val="001000000000" w:firstRow="0" w:lastRow="0" w:firstColumn="1" w:lastColumn="0" w:oddVBand="0" w:evenVBand="0" w:oddHBand="0" w:evenHBand="0" w:firstRowFirstColumn="0" w:firstRowLastColumn="0" w:lastRowFirstColumn="0" w:lastRowLastColumn="0"/>
            <w:tcW w:w="1801" w:type="pct"/>
          </w:tcPr>
          <w:p w14:paraId="2960BBBE" w14:textId="77777777" w:rsidR="00895C72" w:rsidRPr="00895C72" w:rsidRDefault="00895C72" w:rsidP="002361C1">
            <w:pPr>
              <w:jc w:val="both"/>
              <w:rPr>
                <w:rFonts w:ascii="Times New Roman" w:hAnsi="Times New Roman" w:cs="Times New Roman"/>
                <w:color w:val="auto"/>
                <w:sz w:val="24"/>
                <w:szCs w:val="24"/>
                <w:lang w:val="en-GB"/>
              </w:rPr>
            </w:pPr>
            <w:r w:rsidRPr="00895C72">
              <w:rPr>
                <w:rFonts w:ascii="Times New Roman" w:hAnsi="Times New Roman" w:cs="Times New Roman"/>
                <w:color w:val="auto"/>
                <w:sz w:val="24"/>
                <w:szCs w:val="24"/>
                <w:lang w:val="en-GB"/>
              </w:rPr>
              <w:t>European Federation of Waste Management and Environmental Services</w:t>
            </w:r>
          </w:p>
          <w:p w14:paraId="7F0F3C2A" w14:textId="77777777" w:rsidR="00895C72" w:rsidRPr="00895C72" w:rsidRDefault="00895C72" w:rsidP="002361C1">
            <w:pPr>
              <w:jc w:val="both"/>
              <w:rPr>
                <w:rFonts w:ascii="Times New Roman" w:hAnsi="Times New Roman" w:cs="Times New Roman"/>
                <w:b w:val="0"/>
                <w:color w:val="auto"/>
                <w:sz w:val="24"/>
                <w:szCs w:val="24"/>
                <w:lang w:val="en-GB"/>
              </w:rPr>
            </w:pPr>
          </w:p>
          <w:p w14:paraId="068416CA" w14:textId="77777777" w:rsidR="00895C72" w:rsidRPr="00895C72" w:rsidRDefault="00895C72" w:rsidP="002361C1">
            <w:pPr>
              <w:jc w:val="both"/>
              <w:rPr>
                <w:rFonts w:ascii="Times New Roman" w:hAnsi="Times New Roman" w:cs="Times New Roman"/>
                <w:b w:val="0"/>
                <w:color w:val="auto"/>
                <w:sz w:val="24"/>
                <w:szCs w:val="24"/>
                <w:lang w:val="en-GB"/>
              </w:rPr>
            </w:pPr>
            <w:hyperlink r:id="rId9" w:history="1">
              <w:r w:rsidRPr="00895C72">
                <w:rPr>
                  <w:rStyle w:val="Hipervnculo"/>
                  <w:rFonts w:ascii="Times New Roman" w:hAnsi="Times New Roman" w:cs="Times New Roman"/>
                  <w:b w:val="0"/>
                  <w:color w:val="auto"/>
                  <w:sz w:val="24"/>
                  <w:szCs w:val="24"/>
                  <w:lang w:val="en-GB"/>
                </w:rPr>
                <w:t>https://www.fead.be</w:t>
              </w:r>
            </w:hyperlink>
          </w:p>
        </w:tc>
        <w:tc>
          <w:tcPr>
            <w:tcW w:w="3199" w:type="pct"/>
            <w:vAlign w:val="center"/>
          </w:tcPr>
          <w:p w14:paraId="146AFCDB" w14:textId="77777777" w:rsidR="00895C72" w:rsidRPr="00895C72" w:rsidRDefault="00895C72" w:rsidP="00895C7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95C72">
              <w:rPr>
                <w:rFonts w:ascii="Times New Roman" w:hAnsi="Times New Roman" w:cs="Times New Roman"/>
                <w:sz w:val="24"/>
                <w:szCs w:val="24"/>
              </w:rPr>
              <w:lastRenderedPageBreak/>
              <w:t xml:space="preserve">FEAD es la federación europea que representa a la industria privada de gestión de residuos y recursos en toda Europa. Los miembros de FEAD son asociaciones nacionales de gestión de residuos que cubren 19 Estados miembros, Noruega y Serbia. Socio español, </w:t>
            </w:r>
            <w:r w:rsidRPr="00895C72">
              <w:rPr>
                <w:rFonts w:ascii="Times New Roman" w:hAnsi="Times New Roman" w:cs="Times New Roman"/>
                <w:sz w:val="24"/>
                <w:szCs w:val="24"/>
              </w:rPr>
              <w:lastRenderedPageBreak/>
              <w:t>ASEGRE - Asociación de Empresas Gestoras de Residuos y Recursos Especiales (</w:t>
            </w:r>
            <w:hyperlink r:id="rId10" w:tgtFrame="_blank" w:history="1">
              <w:r w:rsidRPr="00895C72">
                <w:rPr>
                  <w:rStyle w:val="Hipervnculo"/>
                  <w:rFonts w:ascii="Times New Roman" w:hAnsi="Times New Roman" w:cs="Times New Roman"/>
                  <w:color w:val="09468E"/>
                  <w:sz w:val="24"/>
                  <w:szCs w:val="24"/>
                  <w:u w:val="none"/>
                  <w:shd w:val="clear" w:color="auto" w:fill="FFFFFF"/>
                </w:rPr>
                <w:t>www.asegre.com</w:t>
              </w:r>
            </w:hyperlink>
            <w:r w:rsidRPr="00895C72">
              <w:rPr>
                <w:rFonts w:ascii="Times New Roman" w:hAnsi="Times New Roman" w:cs="Times New Roman"/>
                <w:sz w:val="24"/>
                <w:szCs w:val="24"/>
              </w:rPr>
              <w:t>)</w:t>
            </w:r>
          </w:p>
        </w:tc>
      </w:tr>
      <w:tr w:rsidR="00895C72" w:rsidRPr="00895C72" w14:paraId="75750462" w14:textId="77777777" w:rsidTr="00895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1" w:type="pct"/>
          </w:tcPr>
          <w:p w14:paraId="4635E2DC" w14:textId="77777777" w:rsidR="00895C72" w:rsidRPr="00895C72" w:rsidRDefault="00895C72" w:rsidP="002361C1">
            <w:pPr>
              <w:jc w:val="both"/>
              <w:rPr>
                <w:rFonts w:ascii="Times New Roman" w:hAnsi="Times New Roman" w:cs="Times New Roman"/>
                <w:color w:val="auto"/>
                <w:sz w:val="24"/>
                <w:szCs w:val="24"/>
              </w:rPr>
            </w:pPr>
            <w:proofErr w:type="spellStart"/>
            <w:r w:rsidRPr="00895C72">
              <w:rPr>
                <w:rFonts w:ascii="Times New Roman" w:hAnsi="Times New Roman" w:cs="Times New Roman"/>
                <w:color w:val="auto"/>
                <w:sz w:val="24"/>
                <w:szCs w:val="24"/>
              </w:rPr>
              <w:lastRenderedPageBreak/>
              <w:t>PlasticsEurope</w:t>
            </w:r>
            <w:proofErr w:type="spellEnd"/>
          </w:p>
          <w:p w14:paraId="1C4CFE1F" w14:textId="77777777" w:rsidR="00895C72" w:rsidRPr="00895C72" w:rsidRDefault="00895C72" w:rsidP="002361C1">
            <w:pPr>
              <w:jc w:val="both"/>
              <w:rPr>
                <w:rFonts w:ascii="Times New Roman" w:hAnsi="Times New Roman" w:cs="Times New Roman"/>
                <w:b w:val="0"/>
                <w:color w:val="auto"/>
                <w:sz w:val="24"/>
                <w:szCs w:val="24"/>
              </w:rPr>
            </w:pPr>
          </w:p>
          <w:p w14:paraId="50BDA9D3" w14:textId="77777777" w:rsidR="00895C72" w:rsidRPr="00895C72" w:rsidRDefault="00895C72" w:rsidP="002361C1">
            <w:pPr>
              <w:jc w:val="both"/>
              <w:rPr>
                <w:rFonts w:ascii="Times New Roman" w:hAnsi="Times New Roman" w:cs="Times New Roman"/>
                <w:b w:val="0"/>
                <w:color w:val="auto"/>
                <w:sz w:val="24"/>
                <w:szCs w:val="24"/>
              </w:rPr>
            </w:pPr>
            <w:hyperlink r:id="rId11" w:history="1">
              <w:r w:rsidRPr="00895C72">
                <w:rPr>
                  <w:rStyle w:val="Hipervnculo"/>
                  <w:rFonts w:ascii="Times New Roman" w:hAnsi="Times New Roman" w:cs="Times New Roman"/>
                  <w:b w:val="0"/>
                  <w:color w:val="auto"/>
                  <w:sz w:val="24"/>
                  <w:szCs w:val="24"/>
                </w:rPr>
                <w:t>http://www.plasticseurope.org</w:t>
              </w:r>
            </w:hyperlink>
            <w:r w:rsidRPr="00895C72">
              <w:rPr>
                <w:rFonts w:ascii="Times New Roman" w:hAnsi="Times New Roman" w:cs="Times New Roman"/>
                <w:b w:val="0"/>
                <w:color w:val="auto"/>
                <w:sz w:val="24"/>
                <w:szCs w:val="24"/>
              </w:rPr>
              <w:t xml:space="preserve"> </w:t>
            </w:r>
          </w:p>
          <w:p w14:paraId="1728F732" w14:textId="77777777" w:rsidR="00895C72" w:rsidRPr="00895C72" w:rsidRDefault="00895C72" w:rsidP="002361C1">
            <w:pPr>
              <w:jc w:val="both"/>
              <w:rPr>
                <w:rFonts w:ascii="Times New Roman" w:hAnsi="Times New Roman" w:cs="Times New Roman"/>
                <w:b w:val="0"/>
                <w:color w:val="auto"/>
                <w:sz w:val="24"/>
                <w:szCs w:val="24"/>
              </w:rPr>
            </w:pPr>
          </w:p>
          <w:p w14:paraId="199FF017" w14:textId="77777777" w:rsidR="00895C72" w:rsidRPr="00895C72" w:rsidRDefault="00895C72" w:rsidP="002361C1">
            <w:pPr>
              <w:jc w:val="both"/>
              <w:rPr>
                <w:rFonts w:ascii="Times New Roman" w:hAnsi="Times New Roman" w:cs="Times New Roman"/>
                <w:b w:val="0"/>
                <w:color w:val="auto"/>
                <w:sz w:val="24"/>
                <w:szCs w:val="24"/>
              </w:rPr>
            </w:pPr>
            <w:r w:rsidRPr="00895C72">
              <w:rPr>
                <w:rFonts w:ascii="Times New Roman" w:hAnsi="Times New Roman" w:cs="Times New Roman"/>
                <w:b w:val="0"/>
                <w:color w:val="auto"/>
                <w:sz w:val="24"/>
                <w:szCs w:val="24"/>
              </w:rPr>
              <w:t xml:space="preserve">Avenue E. Van </w:t>
            </w:r>
            <w:proofErr w:type="spellStart"/>
            <w:r w:rsidRPr="00895C72">
              <w:rPr>
                <w:rFonts w:ascii="Times New Roman" w:hAnsi="Times New Roman" w:cs="Times New Roman"/>
                <w:b w:val="0"/>
                <w:color w:val="auto"/>
                <w:sz w:val="24"/>
                <w:szCs w:val="24"/>
              </w:rPr>
              <w:t>Nieuwenhuyse</w:t>
            </w:r>
            <w:proofErr w:type="spellEnd"/>
            <w:r w:rsidRPr="00895C72">
              <w:rPr>
                <w:rFonts w:ascii="Times New Roman" w:hAnsi="Times New Roman" w:cs="Times New Roman"/>
                <w:b w:val="0"/>
                <w:color w:val="auto"/>
                <w:sz w:val="24"/>
                <w:szCs w:val="24"/>
              </w:rPr>
              <w:t xml:space="preserve"> 4, Box 3</w:t>
            </w:r>
          </w:p>
          <w:p w14:paraId="27CA5B4E" w14:textId="77777777" w:rsidR="00895C72" w:rsidRPr="00895C72" w:rsidRDefault="00895C72" w:rsidP="002361C1">
            <w:pPr>
              <w:jc w:val="both"/>
              <w:rPr>
                <w:rFonts w:ascii="Times New Roman" w:hAnsi="Times New Roman" w:cs="Times New Roman"/>
                <w:b w:val="0"/>
                <w:color w:val="auto"/>
                <w:sz w:val="24"/>
                <w:szCs w:val="24"/>
                <w:lang w:val="en-GB"/>
              </w:rPr>
            </w:pPr>
            <w:r w:rsidRPr="00895C72">
              <w:rPr>
                <w:rFonts w:ascii="Times New Roman" w:hAnsi="Times New Roman" w:cs="Times New Roman"/>
                <w:b w:val="0"/>
                <w:color w:val="auto"/>
                <w:sz w:val="24"/>
                <w:szCs w:val="24"/>
                <w:lang w:val="en-GB"/>
              </w:rPr>
              <w:t>Auderghem, B - 1160 Brussels</w:t>
            </w:r>
          </w:p>
          <w:p w14:paraId="191D749D" w14:textId="77777777" w:rsidR="00895C72" w:rsidRPr="00895C72" w:rsidRDefault="00895C72" w:rsidP="002361C1">
            <w:pPr>
              <w:jc w:val="both"/>
              <w:rPr>
                <w:rFonts w:ascii="Times New Roman" w:hAnsi="Times New Roman" w:cs="Times New Roman"/>
                <w:b w:val="0"/>
                <w:color w:val="auto"/>
                <w:sz w:val="24"/>
                <w:szCs w:val="24"/>
                <w:lang w:val="en-GB"/>
              </w:rPr>
            </w:pPr>
            <w:r w:rsidRPr="00895C72">
              <w:rPr>
                <w:rFonts w:ascii="Times New Roman" w:hAnsi="Times New Roman" w:cs="Times New Roman"/>
                <w:b w:val="0"/>
                <w:color w:val="auto"/>
                <w:sz w:val="24"/>
                <w:szCs w:val="24"/>
                <w:lang w:val="en-GB"/>
              </w:rPr>
              <w:t>Belgium</w:t>
            </w:r>
          </w:p>
          <w:p w14:paraId="1A0F6422" w14:textId="77777777" w:rsidR="00895C72" w:rsidRPr="00895C72" w:rsidRDefault="00895C72" w:rsidP="002361C1">
            <w:pPr>
              <w:jc w:val="both"/>
              <w:rPr>
                <w:rFonts w:ascii="Times New Roman" w:hAnsi="Times New Roman" w:cs="Times New Roman"/>
                <w:b w:val="0"/>
                <w:color w:val="auto"/>
                <w:sz w:val="24"/>
                <w:szCs w:val="24"/>
                <w:lang w:val="en-GB"/>
              </w:rPr>
            </w:pPr>
            <w:r w:rsidRPr="00895C72">
              <w:rPr>
                <w:rFonts w:ascii="Times New Roman" w:hAnsi="Times New Roman" w:cs="Times New Roman"/>
                <w:b w:val="0"/>
                <w:color w:val="auto"/>
                <w:sz w:val="24"/>
                <w:szCs w:val="24"/>
                <w:lang w:val="en-GB"/>
              </w:rPr>
              <w:t>Telephone: +32 (2) 675 32 97</w:t>
            </w:r>
          </w:p>
          <w:p w14:paraId="5B812F90" w14:textId="77777777" w:rsidR="00895C72" w:rsidRPr="00895C72" w:rsidRDefault="00895C72" w:rsidP="002361C1">
            <w:pPr>
              <w:jc w:val="both"/>
              <w:rPr>
                <w:rFonts w:ascii="Times New Roman" w:hAnsi="Times New Roman" w:cs="Times New Roman"/>
                <w:b w:val="0"/>
                <w:color w:val="auto"/>
                <w:sz w:val="24"/>
                <w:szCs w:val="24"/>
                <w:lang w:val="en-GB"/>
              </w:rPr>
            </w:pPr>
          </w:p>
          <w:p w14:paraId="060A7E88" w14:textId="77777777" w:rsidR="00895C72" w:rsidRPr="00895C72" w:rsidRDefault="00895C72" w:rsidP="002361C1">
            <w:pPr>
              <w:jc w:val="both"/>
              <w:rPr>
                <w:rFonts w:ascii="Times New Roman" w:hAnsi="Times New Roman" w:cs="Times New Roman"/>
                <w:b w:val="0"/>
                <w:color w:val="auto"/>
                <w:sz w:val="24"/>
                <w:szCs w:val="24"/>
              </w:rPr>
            </w:pPr>
            <w:r w:rsidRPr="00895C72">
              <w:rPr>
                <w:rFonts w:ascii="Times New Roman" w:hAnsi="Times New Roman" w:cs="Times New Roman"/>
                <w:b w:val="0"/>
                <w:color w:val="auto"/>
                <w:sz w:val="24"/>
                <w:szCs w:val="24"/>
              </w:rPr>
              <w:t>Hermosilla, 31 1º</w:t>
            </w:r>
          </w:p>
          <w:p w14:paraId="5BA4EB5D" w14:textId="77777777" w:rsidR="00895C72" w:rsidRPr="00895C72" w:rsidRDefault="00895C72" w:rsidP="002361C1">
            <w:pPr>
              <w:jc w:val="both"/>
              <w:rPr>
                <w:rFonts w:ascii="Times New Roman" w:hAnsi="Times New Roman" w:cs="Times New Roman"/>
                <w:b w:val="0"/>
                <w:color w:val="auto"/>
                <w:sz w:val="24"/>
                <w:szCs w:val="24"/>
              </w:rPr>
            </w:pPr>
            <w:r w:rsidRPr="00895C72">
              <w:rPr>
                <w:rFonts w:ascii="Times New Roman" w:hAnsi="Times New Roman" w:cs="Times New Roman"/>
                <w:b w:val="0"/>
                <w:color w:val="auto"/>
                <w:sz w:val="24"/>
                <w:szCs w:val="24"/>
              </w:rPr>
              <w:t>E-28001 Madrid</w:t>
            </w:r>
          </w:p>
          <w:p w14:paraId="60E64552" w14:textId="77777777" w:rsidR="00895C72" w:rsidRPr="00895C72" w:rsidRDefault="00895C72" w:rsidP="002361C1">
            <w:pPr>
              <w:jc w:val="both"/>
              <w:rPr>
                <w:rFonts w:ascii="Times New Roman" w:hAnsi="Times New Roman" w:cs="Times New Roman"/>
                <w:b w:val="0"/>
                <w:color w:val="auto"/>
                <w:sz w:val="24"/>
                <w:szCs w:val="24"/>
              </w:rPr>
            </w:pPr>
            <w:proofErr w:type="spellStart"/>
            <w:r w:rsidRPr="00895C72">
              <w:rPr>
                <w:rFonts w:ascii="Times New Roman" w:hAnsi="Times New Roman" w:cs="Times New Roman"/>
                <w:b w:val="0"/>
                <w:color w:val="auto"/>
                <w:sz w:val="24"/>
                <w:szCs w:val="24"/>
              </w:rPr>
              <w:t>Spain</w:t>
            </w:r>
            <w:proofErr w:type="spellEnd"/>
          </w:p>
          <w:p w14:paraId="7CFE4243" w14:textId="77777777" w:rsidR="00895C72" w:rsidRPr="00895C72" w:rsidRDefault="00895C72" w:rsidP="002361C1">
            <w:pPr>
              <w:jc w:val="both"/>
              <w:rPr>
                <w:rFonts w:ascii="Times New Roman" w:hAnsi="Times New Roman" w:cs="Times New Roman"/>
                <w:b w:val="0"/>
                <w:color w:val="auto"/>
                <w:sz w:val="24"/>
                <w:szCs w:val="24"/>
              </w:rPr>
            </w:pPr>
            <w:proofErr w:type="spellStart"/>
            <w:r w:rsidRPr="00895C72">
              <w:rPr>
                <w:rFonts w:ascii="Times New Roman" w:hAnsi="Times New Roman" w:cs="Times New Roman"/>
                <w:b w:val="0"/>
                <w:color w:val="auto"/>
                <w:sz w:val="24"/>
                <w:szCs w:val="24"/>
              </w:rPr>
              <w:t>Telephone</w:t>
            </w:r>
            <w:proofErr w:type="spellEnd"/>
            <w:r w:rsidRPr="00895C72">
              <w:rPr>
                <w:rFonts w:ascii="Times New Roman" w:hAnsi="Times New Roman" w:cs="Times New Roman"/>
                <w:b w:val="0"/>
                <w:color w:val="auto"/>
                <w:sz w:val="24"/>
                <w:szCs w:val="24"/>
              </w:rPr>
              <w:t>: +34 (0)91 431 79 64</w:t>
            </w:r>
          </w:p>
        </w:tc>
        <w:tc>
          <w:tcPr>
            <w:tcW w:w="3199" w:type="pct"/>
            <w:vAlign w:val="center"/>
          </w:tcPr>
          <w:p w14:paraId="4140FEA0" w14:textId="77777777" w:rsidR="00895C72" w:rsidRPr="00895C72" w:rsidRDefault="00895C72" w:rsidP="00895C7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95C72">
              <w:rPr>
                <w:rFonts w:ascii="Times New Roman" w:hAnsi="Times New Roman" w:cs="Times New Roman"/>
                <w:sz w:val="24"/>
                <w:szCs w:val="24"/>
              </w:rPr>
              <w:t>PlasticsEurope</w:t>
            </w:r>
            <w:proofErr w:type="spellEnd"/>
            <w:r w:rsidRPr="00895C72">
              <w:rPr>
                <w:rFonts w:ascii="Times New Roman" w:hAnsi="Times New Roman" w:cs="Times New Roman"/>
                <w:sz w:val="24"/>
                <w:szCs w:val="24"/>
              </w:rPr>
              <w:t xml:space="preserve"> es la única asociación empresarial europea, con sede central en Bruselas y representantes en los 28 países miembros de la Unión Europea. </w:t>
            </w:r>
            <w:proofErr w:type="spellStart"/>
            <w:r w:rsidRPr="00895C72">
              <w:rPr>
                <w:rFonts w:ascii="Times New Roman" w:hAnsi="Times New Roman" w:cs="Times New Roman"/>
                <w:sz w:val="24"/>
                <w:szCs w:val="24"/>
              </w:rPr>
              <w:t>PlasticsEurope</w:t>
            </w:r>
            <w:proofErr w:type="spellEnd"/>
            <w:r w:rsidRPr="00895C72">
              <w:rPr>
                <w:rFonts w:ascii="Times New Roman" w:hAnsi="Times New Roman" w:cs="Times New Roman"/>
                <w:sz w:val="24"/>
                <w:szCs w:val="24"/>
              </w:rPr>
              <w:t xml:space="preserve"> ha desarrollado una estrecha relación con las asociaciones hermanas que representan a la cadena europea de fabricación de plásticos, que reúne a 50.000 transformadores y también a más de 1.000 fabricantes de maquinaria. </w:t>
            </w:r>
            <w:proofErr w:type="spellStart"/>
            <w:r w:rsidRPr="00895C72">
              <w:rPr>
                <w:rFonts w:ascii="Times New Roman" w:hAnsi="Times New Roman" w:cs="Times New Roman"/>
                <w:sz w:val="24"/>
                <w:szCs w:val="24"/>
              </w:rPr>
              <w:t>PlasticsEurope</w:t>
            </w:r>
            <w:proofErr w:type="spellEnd"/>
            <w:r w:rsidRPr="00895C72">
              <w:rPr>
                <w:rFonts w:ascii="Times New Roman" w:hAnsi="Times New Roman" w:cs="Times New Roman"/>
                <w:sz w:val="24"/>
                <w:szCs w:val="24"/>
              </w:rPr>
              <w:t xml:space="preserve"> es la voz oficial de los fabricantes de plásticos europeos.</w:t>
            </w:r>
          </w:p>
        </w:tc>
      </w:tr>
      <w:tr w:rsidR="00895C72" w:rsidRPr="00895C72" w14:paraId="646CFB35" w14:textId="77777777" w:rsidTr="00895C72">
        <w:tc>
          <w:tcPr>
            <w:cnfStyle w:val="001000000000" w:firstRow="0" w:lastRow="0" w:firstColumn="1" w:lastColumn="0" w:oddVBand="0" w:evenVBand="0" w:oddHBand="0" w:evenHBand="0" w:firstRowFirstColumn="0" w:firstRowLastColumn="0" w:lastRowFirstColumn="0" w:lastRowLastColumn="0"/>
            <w:tcW w:w="1801" w:type="pct"/>
          </w:tcPr>
          <w:p w14:paraId="25360FA6" w14:textId="77777777" w:rsidR="00895C72" w:rsidRPr="00895C72" w:rsidRDefault="00895C72" w:rsidP="002361C1">
            <w:pPr>
              <w:jc w:val="both"/>
              <w:rPr>
                <w:rFonts w:ascii="Times New Roman" w:hAnsi="Times New Roman" w:cs="Times New Roman"/>
                <w:color w:val="auto"/>
                <w:sz w:val="24"/>
                <w:szCs w:val="24"/>
              </w:rPr>
            </w:pPr>
            <w:proofErr w:type="spellStart"/>
            <w:r w:rsidRPr="00895C72">
              <w:rPr>
                <w:rFonts w:ascii="Times New Roman" w:hAnsi="Times New Roman" w:cs="Times New Roman"/>
                <w:color w:val="auto"/>
                <w:sz w:val="24"/>
                <w:szCs w:val="24"/>
              </w:rPr>
              <w:t>European</w:t>
            </w:r>
            <w:proofErr w:type="spellEnd"/>
            <w:r w:rsidRPr="00895C72">
              <w:rPr>
                <w:rFonts w:ascii="Times New Roman" w:hAnsi="Times New Roman" w:cs="Times New Roman"/>
                <w:color w:val="auto"/>
                <w:sz w:val="24"/>
                <w:szCs w:val="24"/>
              </w:rPr>
              <w:t xml:space="preserve"> </w:t>
            </w:r>
            <w:proofErr w:type="spellStart"/>
            <w:r w:rsidRPr="00895C72">
              <w:rPr>
                <w:rFonts w:ascii="Times New Roman" w:hAnsi="Times New Roman" w:cs="Times New Roman"/>
                <w:color w:val="auto"/>
                <w:sz w:val="24"/>
                <w:szCs w:val="24"/>
              </w:rPr>
              <w:t>Plastics</w:t>
            </w:r>
            <w:proofErr w:type="spellEnd"/>
            <w:r w:rsidRPr="00895C72">
              <w:rPr>
                <w:rFonts w:ascii="Times New Roman" w:hAnsi="Times New Roman" w:cs="Times New Roman"/>
                <w:color w:val="auto"/>
                <w:sz w:val="24"/>
                <w:szCs w:val="24"/>
              </w:rPr>
              <w:t xml:space="preserve"> </w:t>
            </w:r>
            <w:proofErr w:type="spellStart"/>
            <w:r w:rsidRPr="00895C72">
              <w:rPr>
                <w:rFonts w:ascii="Times New Roman" w:hAnsi="Times New Roman" w:cs="Times New Roman"/>
                <w:color w:val="auto"/>
                <w:sz w:val="24"/>
                <w:szCs w:val="24"/>
              </w:rPr>
              <w:t>Converters</w:t>
            </w:r>
            <w:proofErr w:type="spellEnd"/>
            <w:r w:rsidRPr="00895C72">
              <w:rPr>
                <w:rFonts w:ascii="Times New Roman" w:hAnsi="Times New Roman" w:cs="Times New Roman"/>
                <w:color w:val="auto"/>
                <w:sz w:val="24"/>
                <w:szCs w:val="24"/>
              </w:rPr>
              <w:t xml:space="preserve"> (EUPC)</w:t>
            </w:r>
          </w:p>
          <w:p w14:paraId="26032A73" w14:textId="77777777" w:rsidR="00895C72" w:rsidRPr="00895C72" w:rsidRDefault="00895C72" w:rsidP="002361C1">
            <w:pPr>
              <w:jc w:val="both"/>
              <w:rPr>
                <w:rFonts w:ascii="Times New Roman" w:hAnsi="Times New Roman" w:cs="Times New Roman"/>
                <w:b w:val="0"/>
                <w:color w:val="auto"/>
                <w:sz w:val="24"/>
                <w:szCs w:val="24"/>
              </w:rPr>
            </w:pPr>
          </w:p>
          <w:p w14:paraId="62803AC4" w14:textId="77777777" w:rsidR="00895C72" w:rsidRPr="00895C72" w:rsidRDefault="00895C72" w:rsidP="002361C1">
            <w:pPr>
              <w:jc w:val="both"/>
              <w:rPr>
                <w:rFonts w:ascii="Times New Roman" w:hAnsi="Times New Roman" w:cs="Times New Roman"/>
                <w:b w:val="0"/>
                <w:color w:val="auto"/>
                <w:sz w:val="24"/>
                <w:szCs w:val="24"/>
              </w:rPr>
            </w:pPr>
            <w:hyperlink r:id="rId12" w:history="1">
              <w:r w:rsidRPr="00895C72">
                <w:rPr>
                  <w:rStyle w:val="Hipervnculo"/>
                  <w:rFonts w:ascii="Times New Roman" w:hAnsi="Times New Roman" w:cs="Times New Roman"/>
                  <w:b w:val="0"/>
                  <w:color w:val="auto"/>
                  <w:sz w:val="24"/>
                  <w:szCs w:val="24"/>
                </w:rPr>
                <w:t>https://www.plasticsconverters.eu</w:t>
              </w:r>
            </w:hyperlink>
            <w:r w:rsidRPr="00895C72">
              <w:rPr>
                <w:rFonts w:ascii="Times New Roman" w:hAnsi="Times New Roman" w:cs="Times New Roman"/>
                <w:b w:val="0"/>
                <w:color w:val="auto"/>
                <w:sz w:val="24"/>
                <w:szCs w:val="24"/>
              </w:rPr>
              <w:t xml:space="preserve"> </w:t>
            </w:r>
          </w:p>
          <w:p w14:paraId="6C5B6BDC" w14:textId="77777777" w:rsidR="00895C72" w:rsidRPr="00895C72" w:rsidRDefault="00895C72" w:rsidP="002361C1">
            <w:pPr>
              <w:jc w:val="both"/>
              <w:rPr>
                <w:rFonts w:ascii="Times New Roman" w:hAnsi="Times New Roman" w:cs="Times New Roman"/>
                <w:b w:val="0"/>
                <w:color w:val="auto"/>
                <w:sz w:val="24"/>
                <w:szCs w:val="24"/>
              </w:rPr>
            </w:pPr>
          </w:p>
          <w:p w14:paraId="0A45BE07" w14:textId="77777777" w:rsidR="00895C72" w:rsidRPr="00895C72" w:rsidRDefault="00895C72" w:rsidP="002361C1">
            <w:pPr>
              <w:jc w:val="both"/>
              <w:rPr>
                <w:rFonts w:ascii="Times New Roman" w:hAnsi="Times New Roman" w:cs="Times New Roman"/>
                <w:b w:val="0"/>
                <w:color w:val="auto"/>
                <w:sz w:val="24"/>
                <w:szCs w:val="24"/>
              </w:rPr>
            </w:pPr>
            <w:r w:rsidRPr="00895C72">
              <w:rPr>
                <w:rFonts w:ascii="Times New Roman" w:hAnsi="Times New Roman" w:cs="Times New Roman"/>
                <w:b w:val="0"/>
                <w:color w:val="auto"/>
                <w:sz w:val="24"/>
                <w:szCs w:val="24"/>
              </w:rPr>
              <w:t>ANAIP (Asociación Española de Industrias de Plásticos)</w:t>
            </w:r>
          </w:p>
          <w:p w14:paraId="3097C39F" w14:textId="77777777" w:rsidR="00895C72" w:rsidRPr="00895C72" w:rsidRDefault="00895C72" w:rsidP="002361C1">
            <w:pPr>
              <w:jc w:val="both"/>
              <w:rPr>
                <w:rFonts w:ascii="Times New Roman" w:hAnsi="Times New Roman" w:cs="Times New Roman"/>
                <w:b w:val="0"/>
                <w:color w:val="auto"/>
                <w:sz w:val="24"/>
                <w:szCs w:val="24"/>
              </w:rPr>
            </w:pPr>
          </w:p>
        </w:tc>
        <w:tc>
          <w:tcPr>
            <w:tcW w:w="3199" w:type="pct"/>
            <w:vAlign w:val="center"/>
          </w:tcPr>
          <w:p w14:paraId="493883A0" w14:textId="77777777" w:rsidR="00895C72" w:rsidRPr="00895C72" w:rsidRDefault="00895C72" w:rsidP="00895C7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95C72">
              <w:rPr>
                <w:rFonts w:ascii="Times New Roman" w:hAnsi="Times New Roman" w:cs="Times New Roman"/>
                <w:sz w:val="24"/>
                <w:szCs w:val="24"/>
              </w:rPr>
              <w:t>EuPC</w:t>
            </w:r>
            <w:proofErr w:type="spellEnd"/>
            <w:r w:rsidRPr="00895C72">
              <w:rPr>
                <w:rFonts w:ascii="Times New Roman" w:hAnsi="Times New Roman" w:cs="Times New Roman"/>
                <w:sz w:val="24"/>
                <w:szCs w:val="24"/>
              </w:rPr>
              <w:t xml:space="preserve"> representa a 28 asociaciones nacionales y 18 organizaciones </w:t>
            </w:r>
            <w:proofErr w:type="gramStart"/>
            <w:r w:rsidRPr="00895C72">
              <w:rPr>
                <w:rFonts w:ascii="Times New Roman" w:hAnsi="Times New Roman" w:cs="Times New Roman"/>
                <w:sz w:val="24"/>
                <w:szCs w:val="24"/>
              </w:rPr>
              <w:t>sectoriales ,</w:t>
            </w:r>
            <w:proofErr w:type="gramEnd"/>
            <w:r w:rsidRPr="00895C72">
              <w:rPr>
                <w:rFonts w:ascii="Times New Roman" w:hAnsi="Times New Roman" w:cs="Times New Roman"/>
                <w:sz w:val="24"/>
                <w:szCs w:val="24"/>
              </w:rPr>
              <w:t xml:space="preserve"> formando una poderosa voz para la industria europea de convertidores de plásticos. El objetivo de </w:t>
            </w:r>
            <w:proofErr w:type="spellStart"/>
            <w:r w:rsidRPr="00895C72">
              <w:rPr>
                <w:rFonts w:ascii="Times New Roman" w:hAnsi="Times New Roman" w:cs="Times New Roman"/>
                <w:sz w:val="24"/>
                <w:szCs w:val="24"/>
              </w:rPr>
              <w:t>EuPC</w:t>
            </w:r>
            <w:proofErr w:type="spellEnd"/>
            <w:r w:rsidRPr="00895C72">
              <w:rPr>
                <w:rFonts w:ascii="Times New Roman" w:hAnsi="Times New Roman" w:cs="Times New Roman"/>
                <w:sz w:val="24"/>
                <w:szCs w:val="24"/>
              </w:rPr>
              <w:t xml:space="preserve"> es contribuir a un entorno comercial abierto y justo para los convertidores de plásticos en Europa. Nos centramos en </w:t>
            </w:r>
            <w:proofErr w:type="gramStart"/>
            <w:r w:rsidRPr="00895C72">
              <w:rPr>
                <w:rFonts w:ascii="Times New Roman" w:hAnsi="Times New Roman" w:cs="Times New Roman"/>
                <w:sz w:val="24"/>
                <w:szCs w:val="24"/>
              </w:rPr>
              <w:t>el  desarrollo</w:t>
            </w:r>
            <w:proofErr w:type="gramEnd"/>
            <w:r w:rsidRPr="00895C72">
              <w:rPr>
                <w:rFonts w:ascii="Times New Roman" w:hAnsi="Times New Roman" w:cs="Times New Roman"/>
                <w:sz w:val="24"/>
                <w:szCs w:val="24"/>
              </w:rPr>
              <w:t xml:space="preserve"> del mercado , la regulación , la gestión de problemas  y el comercio. Los miembros de </w:t>
            </w:r>
            <w:proofErr w:type="spellStart"/>
            <w:r w:rsidRPr="00895C72">
              <w:rPr>
                <w:rFonts w:ascii="Times New Roman" w:hAnsi="Times New Roman" w:cs="Times New Roman"/>
                <w:sz w:val="24"/>
                <w:szCs w:val="24"/>
              </w:rPr>
              <w:t>EuPC</w:t>
            </w:r>
            <w:proofErr w:type="spellEnd"/>
            <w:r w:rsidRPr="00895C72">
              <w:rPr>
                <w:rFonts w:ascii="Times New Roman" w:hAnsi="Times New Roman" w:cs="Times New Roman"/>
                <w:sz w:val="24"/>
                <w:szCs w:val="24"/>
              </w:rPr>
              <w:t xml:space="preserve"> son asociaciones nacionales de procesamiento de plásticos </w:t>
            </w:r>
            <w:proofErr w:type="spellStart"/>
            <w:r w:rsidRPr="00895C72">
              <w:rPr>
                <w:rFonts w:ascii="Times New Roman" w:hAnsi="Times New Roman" w:cs="Times New Roman"/>
                <w:sz w:val="24"/>
                <w:szCs w:val="24"/>
              </w:rPr>
              <w:t>querepresentan</w:t>
            </w:r>
            <w:proofErr w:type="spellEnd"/>
            <w:r w:rsidRPr="00895C72">
              <w:rPr>
                <w:rFonts w:ascii="Times New Roman" w:hAnsi="Times New Roman" w:cs="Times New Roman"/>
                <w:sz w:val="24"/>
                <w:szCs w:val="24"/>
              </w:rPr>
              <w:t xml:space="preserve"> a la industria de conversión de plásticos. También representamos a 17 asociaciones sectoriales </w:t>
            </w:r>
            <w:proofErr w:type="gramStart"/>
            <w:r w:rsidRPr="00895C72">
              <w:rPr>
                <w:rFonts w:ascii="Times New Roman" w:hAnsi="Times New Roman" w:cs="Times New Roman"/>
                <w:sz w:val="24"/>
                <w:szCs w:val="24"/>
              </w:rPr>
              <w:t>europeas  de</w:t>
            </w:r>
            <w:proofErr w:type="gramEnd"/>
            <w:r w:rsidRPr="00895C72">
              <w:rPr>
                <w:rFonts w:ascii="Times New Roman" w:hAnsi="Times New Roman" w:cs="Times New Roman"/>
                <w:sz w:val="24"/>
                <w:szCs w:val="24"/>
              </w:rPr>
              <w:t xml:space="preserve"> mercados de plásticos particulares o materiales industriales.</w:t>
            </w:r>
          </w:p>
          <w:p w14:paraId="181E7B4D" w14:textId="77777777" w:rsidR="00895C72" w:rsidRPr="00895C72" w:rsidRDefault="00895C72" w:rsidP="00895C7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95C72">
              <w:rPr>
                <w:rFonts w:ascii="Times New Roman" w:hAnsi="Times New Roman" w:cs="Times New Roman"/>
                <w:sz w:val="24"/>
                <w:szCs w:val="24"/>
              </w:rPr>
              <w:t>.</w:t>
            </w:r>
          </w:p>
        </w:tc>
      </w:tr>
      <w:tr w:rsidR="00895C72" w:rsidRPr="00895C72" w14:paraId="5E8A16A9" w14:textId="77777777" w:rsidTr="00895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1" w:type="pct"/>
          </w:tcPr>
          <w:p w14:paraId="43EE0FF9" w14:textId="77777777" w:rsidR="00895C72" w:rsidRPr="00895C72" w:rsidRDefault="00895C72" w:rsidP="002361C1">
            <w:pPr>
              <w:jc w:val="both"/>
              <w:rPr>
                <w:rFonts w:ascii="Times New Roman" w:hAnsi="Times New Roman" w:cs="Times New Roman"/>
                <w:color w:val="auto"/>
                <w:sz w:val="24"/>
                <w:szCs w:val="24"/>
                <w:lang w:val="fr-BE"/>
              </w:rPr>
            </w:pPr>
            <w:r w:rsidRPr="00895C72">
              <w:rPr>
                <w:rFonts w:ascii="Times New Roman" w:hAnsi="Times New Roman" w:cs="Times New Roman"/>
                <w:color w:val="auto"/>
                <w:sz w:val="24"/>
                <w:szCs w:val="24"/>
                <w:lang w:val="fr-BE"/>
              </w:rPr>
              <w:t xml:space="preserve">Plastics </w:t>
            </w:r>
            <w:proofErr w:type="spellStart"/>
            <w:r w:rsidRPr="00895C72">
              <w:rPr>
                <w:rFonts w:ascii="Times New Roman" w:hAnsi="Times New Roman" w:cs="Times New Roman"/>
                <w:color w:val="auto"/>
                <w:sz w:val="24"/>
                <w:szCs w:val="24"/>
                <w:lang w:val="fr-BE"/>
              </w:rPr>
              <w:t>Recyclers</w:t>
            </w:r>
            <w:proofErr w:type="spellEnd"/>
            <w:r w:rsidRPr="00895C72">
              <w:rPr>
                <w:rFonts w:ascii="Times New Roman" w:hAnsi="Times New Roman" w:cs="Times New Roman"/>
                <w:color w:val="auto"/>
                <w:sz w:val="24"/>
                <w:szCs w:val="24"/>
                <w:lang w:val="fr-BE"/>
              </w:rPr>
              <w:t xml:space="preserve"> Europe (PRE)</w:t>
            </w:r>
          </w:p>
          <w:p w14:paraId="1EE796A1" w14:textId="77777777" w:rsidR="00895C72" w:rsidRPr="00895C72" w:rsidRDefault="00895C72" w:rsidP="002361C1">
            <w:pPr>
              <w:jc w:val="both"/>
              <w:rPr>
                <w:rFonts w:ascii="Times New Roman" w:hAnsi="Times New Roman" w:cs="Times New Roman"/>
                <w:b w:val="0"/>
                <w:color w:val="auto"/>
                <w:sz w:val="24"/>
                <w:szCs w:val="24"/>
                <w:lang w:val="fr-BE"/>
              </w:rPr>
            </w:pPr>
          </w:p>
          <w:p w14:paraId="358A69CB" w14:textId="77777777" w:rsidR="00895C72" w:rsidRPr="00895C72" w:rsidRDefault="00895C72" w:rsidP="002361C1">
            <w:pPr>
              <w:jc w:val="both"/>
              <w:rPr>
                <w:rFonts w:ascii="Times New Roman" w:hAnsi="Times New Roman" w:cs="Times New Roman"/>
                <w:b w:val="0"/>
                <w:color w:val="auto"/>
                <w:sz w:val="24"/>
                <w:szCs w:val="24"/>
                <w:lang w:val="fr-BE"/>
              </w:rPr>
            </w:pPr>
            <w:hyperlink r:id="rId13" w:history="1">
              <w:r w:rsidRPr="00895C72">
                <w:rPr>
                  <w:rStyle w:val="Hipervnculo"/>
                  <w:rFonts w:ascii="Times New Roman" w:hAnsi="Times New Roman" w:cs="Times New Roman"/>
                  <w:sz w:val="24"/>
                  <w:szCs w:val="24"/>
                  <w:lang w:val="fr-BE"/>
                </w:rPr>
                <w:t>http://www.plasticsrecyclers.eu/about-us</w:t>
              </w:r>
            </w:hyperlink>
            <w:r w:rsidRPr="00895C72">
              <w:rPr>
                <w:rFonts w:ascii="Times New Roman" w:hAnsi="Times New Roman" w:cs="Times New Roman"/>
                <w:b w:val="0"/>
                <w:color w:val="auto"/>
                <w:sz w:val="24"/>
                <w:szCs w:val="24"/>
                <w:lang w:val="fr-BE"/>
              </w:rPr>
              <w:t xml:space="preserve"> </w:t>
            </w:r>
          </w:p>
        </w:tc>
        <w:tc>
          <w:tcPr>
            <w:tcW w:w="3199" w:type="pct"/>
            <w:vAlign w:val="center"/>
          </w:tcPr>
          <w:p w14:paraId="1A095948" w14:textId="77777777" w:rsidR="00895C72" w:rsidRPr="00895C72" w:rsidRDefault="00895C72" w:rsidP="00895C7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95C72">
              <w:rPr>
                <w:rFonts w:ascii="Times New Roman" w:hAnsi="Times New Roman" w:cs="Times New Roman"/>
                <w:sz w:val="24"/>
                <w:szCs w:val="24"/>
              </w:rPr>
              <w:t xml:space="preserve">Con más de 120 miembros en toda la UE, PRE consta de </w:t>
            </w:r>
            <w:proofErr w:type="gramStart"/>
            <w:r w:rsidRPr="00895C72">
              <w:rPr>
                <w:rFonts w:ascii="Times New Roman" w:hAnsi="Times New Roman" w:cs="Times New Roman"/>
                <w:sz w:val="24"/>
                <w:szCs w:val="24"/>
              </w:rPr>
              <w:t>7  grupos</w:t>
            </w:r>
            <w:proofErr w:type="gramEnd"/>
            <w:r w:rsidRPr="00895C72">
              <w:rPr>
                <w:rFonts w:ascii="Times New Roman" w:hAnsi="Times New Roman" w:cs="Times New Roman"/>
                <w:sz w:val="24"/>
                <w:szCs w:val="24"/>
              </w:rPr>
              <w:t xml:space="preserve"> de trabajo . Se crearon grupos de trabajo para representar a grupos de interés particulares, según el tipo de polímero o el tipo de residuo procesado. Estos son los llamados grupos verticales. También hay 3 grupos horizontales que interactúan y se coordinan con los grupos verticales. Su objetivo es fortalecer la estructura del PRE y permitir la comunicación entre todos los grupos. </w:t>
            </w:r>
          </w:p>
          <w:p w14:paraId="73B2CC09" w14:textId="77777777" w:rsidR="00895C72" w:rsidRPr="00895C72" w:rsidRDefault="00895C72" w:rsidP="00895C7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D4A6DE8" w14:textId="77777777" w:rsidR="00895C72" w:rsidRPr="00895C72" w:rsidRDefault="00895C72" w:rsidP="00895C7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95C72">
              <w:rPr>
                <w:rFonts w:ascii="Times New Roman" w:hAnsi="Times New Roman" w:cs="Times New Roman"/>
                <w:sz w:val="24"/>
                <w:szCs w:val="24"/>
              </w:rPr>
              <w:t xml:space="preserve">Enfocado a la empresa, ver comité de dirección: </w:t>
            </w:r>
            <w:hyperlink r:id="rId14" w:history="1">
              <w:r w:rsidRPr="00895C72">
                <w:rPr>
                  <w:rStyle w:val="Hipervnculo"/>
                  <w:rFonts w:ascii="Times New Roman" w:hAnsi="Times New Roman" w:cs="Times New Roman"/>
                  <w:sz w:val="24"/>
                  <w:szCs w:val="24"/>
                </w:rPr>
                <w:t>http://www.plasticsrecyclers.eu/management-committee</w:t>
              </w:r>
            </w:hyperlink>
            <w:r w:rsidRPr="00895C72">
              <w:rPr>
                <w:rFonts w:ascii="Times New Roman" w:hAnsi="Times New Roman" w:cs="Times New Roman"/>
                <w:sz w:val="24"/>
                <w:szCs w:val="24"/>
              </w:rPr>
              <w:t xml:space="preserve"> </w:t>
            </w:r>
          </w:p>
          <w:p w14:paraId="1B6721D8" w14:textId="77777777" w:rsidR="00895C72" w:rsidRPr="00895C72" w:rsidRDefault="00895C72" w:rsidP="00895C7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95C72" w:rsidRPr="00895C72" w14:paraId="01C66E69" w14:textId="77777777" w:rsidTr="00895C72">
        <w:tc>
          <w:tcPr>
            <w:cnfStyle w:val="001000000000" w:firstRow="0" w:lastRow="0" w:firstColumn="1" w:lastColumn="0" w:oddVBand="0" w:evenVBand="0" w:oddHBand="0" w:evenHBand="0" w:firstRowFirstColumn="0" w:firstRowLastColumn="0" w:lastRowFirstColumn="0" w:lastRowLastColumn="0"/>
            <w:tcW w:w="1801" w:type="pct"/>
          </w:tcPr>
          <w:p w14:paraId="72943E43" w14:textId="77777777" w:rsidR="00895C72" w:rsidRPr="00895C72" w:rsidRDefault="00895C72" w:rsidP="002361C1">
            <w:pPr>
              <w:jc w:val="both"/>
              <w:rPr>
                <w:rFonts w:ascii="Times New Roman" w:hAnsi="Times New Roman" w:cs="Times New Roman"/>
                <w:color w:val="auto"/>
                <w:sz w:val="24"/>
                <w:szCs w:val="24"/>
                <w:lang w:val="en-GB"/>
              </w:rPr>
            </w:pPr>
            <w:r w:rsidRPr="00895C72">
              <w:rPr>
                <w:rFonts w:ascii="Times New Roman" w:hAnsi="Times New Roman" w:cs="Times New Roman"/>
                <w:color w:val="auto"/>
                <w:sz w:val="24"/>
                <w:szCs w:val="24"/>
                <w:lang w:val="en-GB"/>
              </w:rPr>
              <w:t>Rethink Plastic Alliance</w:t>
            </w:r>
          </w:p>
          <w:p w14:paraId="3C258D9F" w14:textId="77777777" w:rsidR="00895C72" w:rsidRPr="00895C72" w:rsidRDefault="00895C72" w:rsidP="002361C1">
            <w:pPr>
              <w:jc w:val="both"/>
              <w:rPr>
                <w:rFonts w:ascii="Times New Roman" w:hAnsi="Times New Roman" w:cs="Times New Roman"/>
                <w:b w:val="0"/>
                <w:color w:val="auto"/>
                <w:sz w:val="24"/>
                <w:szCs w:val="24"/>
                <w:lang w:val="en-GB"/>
              </w:rPr>
            </w:pPr>
          </w:p>
          <w:p w14:paraId="07B6DB37" w14:textId="77777777" w:rsidR="00895C72" w:rsidRPr="00895C72" w:rsidRDefault="00895C72" w:rsidP="002361C1">
            <w:pPr>
              <w:jc w:val="both"/>
              <w:rPr>
                <w:rFonts w:ascii="Times New Roman" w:hAnsi="Times New Roman" w:cs="Times New Roman"/>
                <w:b w:val="0"/>
                <w:color w:val="auto"/>
                <w:sz w:val="24"/>
                <w:szCs w:val="24"/>
                <w:lang w:val="en-GB"/>
              </w:rPr>
            </w:pPr>
            <w:hyperlink r:id="rId15" w:history="1">
              <w:r w:rsidRPr="00895C72">
                <w:rPr>
                  <w:rStyle w:val="Hipervnculo"/>
                  <w:rFonts w:ascii="Times New Roman" w:hAnsi="Times New Roman" w:cs="Times New Roman"/>
                  <w:b w:val="0"/>
                  <w:color w:val="auto"/>
                  <w:sz w:val="24"/>
                  <w:szCs w:val="24"/>
                  <w:lang w:val="en-GB"/>
                </w:rPr>
                <w:t>http://rethinkplasticalliance.eu</w:t>
              </w:r>
            </w:hyperlink>
            <w:r w:rsidRPr="00895C72">
              <w:rPr>
                <w:rFonts w:ascii="Times New Roman" w:hAnsi="Times New Roman" w:cs="Times New Roman"/>
                <w:b w:val="0"/>
                <w:color w:val="auto"/>
                <w:sz w:val="24"/>
                <w:szCs w:val="24"/>
              </w:rPr>
              <w:t xml:space="preserve"> </w:t>
            </w:r>
          </w:p>
        </w:tc>
        <w:tc>
          <w:tcPr>
            <w:tcW w:w="3199" w:type="pct"/>
            <w:vAlign w:val="center"/>
          </w:tcPr>
          <w:p w14:paraId="0D048747" w14:textId="77777777" w:rsidR="00895C72" w:rsidRPr="00895C72" w:rsidRDefault="00895C72" w:rsidP="00895C7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95C72">
              <w:rPr>
                <w:rFonts w:ascii="Times New Roman" w:hAnsi="Times New Roman" w:cs="Times New Roman"/>
                <w:sz w:val="24"/>
                <w:szCs w:val="24"/>
              </w:rPr>
              <w:t xml:space="preserve">Movimiento de </w:t>
            </w:r>
            <w:proofErr w:type="spellStart"/>
            <w:r w:rsidRPr="00895C72">
              <w:rPr>
                <w:rFonts w:ascii="Times New Roman" w:hAnsi="Times New Roman" w:cs="Times New Roman"/>
                <w:sz w:val="24"/>
                <w:szCs w:val="24"/>
              </w:rPr>
              <w:t>ONGs</w:t>
            </w:r>
            <w:proofErr w:type="spellEnd"/>
            <w:r w:rsidRPr="00895C72">
              <w:rPr>
                <w:rFonts w:ascii="Times New Roman" w:hAnsi="Times New Roman" w:cs="Times New Roman"/>
                <w:sz w:val="24"/>
                <w:szCs w:val="24"/>
              </w:rPr>
              <w:t xml:space="preserve"> para repensar la utilización del plástico. Tienen una declaración para rediseñar y mejorar la gestión del plástico.</w:t>
            </w:r>
          </w:p>
        </w:tc>
      </w:tr>
    </w:tbl>
    <w:p w14:paraId="34866DCA" w14:textId="77777777" w:rsidR="00895C72" w:rsidRPr="00895C72" w:rsidRDefault="00895C72" w:rsidP="00895C72">
      <w:pPr>
        <w:rPr>
          <w:rFonts w:ascii="Times New Roman" w:hAnsi="Times New Roman" w:cs="Times New Roman"/>
          <w:sz w:val="24"/>
          <w:szCs w:val="24"/>
        </w:rPr>
      </w:pPr>
    </w:p>
    <w:p w14:paraId="242EA857" w14:textId="77777777" w:rsidR="00895C72" w:rsidRPr="00895C72" w:rsidRDefault="00895C72" w:rsidP="00024ADA">
      <w:pPr>
        <w:spacing w:after="0" w:line="240" w:lineRule="auto"/>
        <w:jc w:val="both"/>
        <w:rPr>
          <w:rFonts w:ascii="Times New Roman" w:hAnsi="Times New Roman" w:cs="Times New Roman"/>
          <w:sz w:val="24"/>
          <w:szCs w:val="24"/>
        </w:rPr>
      </w:pPr>
    </w:p>
    <w:p w14:paraId="2CFCE6CD" w14:textId="77777777" w:rsidR="00024ADA" w:rsidRPr="00895C72" w:rsidRDefault="00024ADA" w:rsidP="00024ADA">
      <w:pPr>
        <w:spacing w:after="0" w:line="240" w:lineRule="auto"/>
        <w:jc w:val="both"/>
        <w:rPr>
          <w:rFonts w:ascii="Times New Roman" w:hAnsi="Times New Roman" w:cs="Times New Roman"/>
          <w:sz w:val="24"/>
          <w:szCs w:val="24"/>
        </w:rPr>
      </w:pPr>
    </w:p>
    <w:p w14:paraId="7D2F0E1A" w14:textId="77777777" w:rsidR="00B80BEC" w:rsidRPr="00895C72" w:rsidRDefault="00B80BEC" w:rsidP="00024ADA">
      <w:pPr>
        <w:spacing w:after="0" w:line="240" w:lineRule="auto"/>
        <w:jc w:val="both"/>
        <w:rPr>
          <w:rFonts w:ascii="Times New Roman" w:hAnsi="Times New Roman" w:cs="Times New Roman"/>
          <w:sz w:val="24"/>
          <w:szCs w:val="24"/>
        </w:rPr>
      </w:pPr>
    </w:p>
    <w:p w14:paraId="113CEE2A" w14:textId="77777777" w:rsidR="00B80BEC" w:rsidRPr="00895C72" w:rsidRDefault="00B80BEC" w:rsidP="00024ADA">
      <w:pPr>
        <w:spacing w:after="0" w:line="240" w:lineRule="auto"/>
        <w:jc w:val="both"/>
        <w:rPr>
          <w:rFonts w:ascii="Times New Roman" w:hAnsi="Times New Roman" w:cs="Times New Roman"/>
          <w:sz w:val="24"/>
          <w:szCs w:val="24"/>
        </w:rPr>
      </w:pPr>
    </w:p>
    <w:p w14:paraId="69897854" w14:textId="77777777" w:rsidR="00B80BEC" w:rsidRPr="00895C72" w:rsidRDefault="00B80BEC" w:rsidP="00024ADA">
      <w:pPr>
        <w:spacing w:after="0" w:line="240" w:lineRule="auto"/>
        <w:jc w:val="both"/>
        <w:rPr>
          <w:rFonts w:ascii="Times New Roman" w:hAnsi="Times New Roman" w:cs="Times New Roman"/>
          <w:sz w:val="24"/>
          <w:szCs w:val="24"/>
        </w:rPr>
      </w:pPr>
    </w:p>
    <w:sectPr w:rsidR="00B80BEC" w:rsidRPr="00895C72">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99D74" w14:textId="77777777" w:rsidR="00B80BEC" w:rsidRDefault="00B80BEC" w:rsidP="00B80BEC">
      <w:pPr>
        <w:spacing w:after="0" w:line="240" w:lineRule="auto"/>
      </w:pPr>
      <w:r>
        <w:separator/>
      </w:r>
    </w:p>
  </w:endnote>
  <w:endnote w:type="continuationSeparator" w:id="0">
    <w:p w14:paraId="237DB1EA" w14:textId="77777777" w:rsidR="00B80BEC" w:rsidRDefault="00B80BEC" w:rsidP="00B80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2846"/>
      <w:gridCol w:w="2840"/>
    </w:tblGrid>
    <w:tr w:rsidR="00895C72" w:rsidRPr="00895C72" w14:paraId="62AD1930" w14:textId="77777777" w:rsidTr="002361C1">
      <w:trPr>
        <w:jc w:val="center"/>
      </w:trPr>
      <w:tc>
        <w:tcPr>
          <w:tcW w:w="2881" w:type="dxa"/>
          <w:vAlign w:val="bottom"/>
          <w:hideMark/>
        </w:tcPr>
        <w:p w14:paraId="13E508FF" w14:textId="77777777" w:rsidR="00895C72" w:rsidRDefault="00895C72" w:rsidP="00895C72">
          <w:pPr>
            <w:pStyle w:val="Piedepgina"/>
            <w:jc w:val="center"/>
            <w:rPr>
              <w:b/>
              <w:i/>
              <w:color w:val="808080" w:themeColor="background1" w:themeShade="80"/>
              <w:sz w:val="12"/>
              <w:szCs w:val="12"/>
              <w:lang w:val="en-US" w:eastAsia="es-ES"/>
            </w:rPr>
          </w:pPr>
          <w:proofErr w:type="spellStart"/>
          <w:r>
            <w:rPr>
              <w:b/>
              <w:i/>
              <w:color w:val="808080" w:themeColor="background1" w:themeShade="80"/>
              <w:sz w:val="12"/>
              <w:szCs w:val="12"/>
              <w:lang w:val="en-US" w:eastAsia="es-ES"/>
            </w:rPr>
            <w:t>Bruselako</w:t>
          </w:r>
          <w:proofErr w:type="spellEnd"/>
          <w:r>
            <w:rPr>
              <w:b/>
              <w:i/>
              <w:color w:val="808080" w:themeColor="background1" w:themeShade="80"/>
              <w:sz w:val="12"/>
              <w:szCs w:val="12"/>
              <w:lang w:val="en-US" w:eastAsia="es-ES"/>
            </w:rPr>
            <w:t xml:space="preserve"> </w:t>
          </w:r>
          <w:proofErr w:type="spellStart"/>
          <w:r>
            <w:rPr>
              <w:b/>
              <w:i/>
              <w:color w:val="808080" w:themeColor="background1" w:themeShade="80"/>
              <w:sz w:val="12"/>
              <w:szCs w:val="12"/>
              <w:lang w:val="en-US" w:eastAsia="es-ES"/>
            </w:rPr>
            <w:t>Delegazioa</w:t>
          </w:r>
          <w:proofErr w:type="spellEnd"/>
        </w:p>
        <w:p w14:paraId="5496C7EC" w14:textId="77777777" w:rsidR="00895C72" w:rsidRDefault="00895C72" w:rsidP="00895C72">
          <w:pPr>
            <w:pStyle w:val="Piedepgina"/>
            <w:jc w:val="center"/>
            <w:rPr>
              <w:b/>
              <w:i/>
              <w:color w:val="808080" w:themeColor="background1" w:themeShade="80"/>
              <w:sz w:val="12"/>
              <w:szCs w:val="12"/>
              <w:lang w:val="en-US" w:eastAsia="es-ES"/>
            </w:rPr>
          </w:pPr>
          <w:r>
            <w:rPr>
              <w:b/>
              <w:i/>
              <w:color w:val="808080" w:themeColor="background1" w:themeShade="80"/>
              <w:sz w:val="12"/>
              <w:szCs w:val="12"/>
              <w:lang w:val="en-US" w:eastAsia="es-ES"/>
            </w:rPr>
            <w:t>Delegation in Brussels</w:t>
          </w:r>
        </w:p>
      </w:tc>
      <w:tc>
        <w:tcPr>
          <w:tcW w:w="2881" w:type="dxa"/>
          <w:hideMark/>
        </w:tcPr>
        <w:p w14:paraId="378085CC" w14:textId="77777777" w:rsidR="00895C72" w:rsidRDefault="00895C72" w:rsidP="00895C72">
          <w:pPr>
            <w:pStyle w:val="Piedepgina"/>
            <w:jc w:val="center"/>
            <w:rPr>
              <w:b/>
              <w:i/>
              <w:sz w:val="18"/>
              <w:szCs w:val="18"/>
              <w:lang w:eastAsia="es-ES"/>
            </w:rPr>
          </w:pPr>
          <w:r>
            <w:rPr>
              <w:b/>
              <w:i/>
              <w:noProof/>
              <w:sz w:val="18"/>
              <w:szCs w:val="18"/>
              <w:lang w:eastAsia="es-ES"/>
            </w:rPr>
            <w:drawing>
              <wp:inline distT="0" distB="0" distL="0" distR="0" wp14:anchorId="60E1B70B" wp14:editId="4E381522">
                <wp:extent cx="952500" cy="2571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p>
      </w:tc>
      <w:tc>
        <w:tcPr>
          <w:tcW w:w="2882" w:type="dxa"/>
          <w:vAlign w:val="bottom"/>
          <w:hideMark/>
        </w:tcPr>
        <w:p w14:paraId="5899AD83" w14:textId="77777777" w:rsidR="00895C72" w:rsidRDefault="00895C72" w:rsidP="00895C72">
          <w:pPr>
            <w:pStyle w:val="Piedepgina"/>
            <w:ind w:left="708"/>
            <w:jc w:val="center"/>
            <w:rPr>
              <w:b/>
              <w:i/>
              <w:color w:val="808080" w:themeColor="background1" w:themeShade="80"/>
              <w:sz w:val="12"/>
              <w:szCs w:val="12"/>
              <w:lang w:val="fr-BE" w:eastAsia="es-ES"/>
            </w:rPr>
          </w:pPr>
          <w:r>
            <w:rPr>
              <w:b/>
              <w:i/>
              <w:color w:val="808080" w:themeColor="background1" w:themeShade="80"/>
              <w:sz w:val="12"/>
              <w:szCs w:val="12"/>
              <w:lang w:val="fr-BE" w:eastAsia="es-ES"/>
            </w:rPr>
            <w:t>Délégation à Bruxelles</w:t>
          </w:r>
        </w:p>
        <w:p w14:paraId="1AA26298" w14:textId="77777777" w:rsidR="00895C72" w:rsidRDefault="00895C72" w:rsidP="00895C72">
          <w:pPr>
            <w:pStyle w:val="Piedepgina"/>
            <w:ind w:left="708"/>
            <w:jc w:val="center"/>
            <w:rPr>
              <w:b/>
              <w:i/>
              <w:sz w:val="18"/>
              <w:szCs w:val="18"/>
              <w:lang w:val="fr-BE" w:eastAsia="es-ES"/>
            </w:rPr>
          </w:pPr>
          <w:proofErr w:type="spellStart"/>
          <w:r>
            <w:rPr>
              <w:b/>
              <w:i/>
              <w:color w:val="808080" w:themeColor="background1" w:themeShade="80"/>
              <w:sz w:val="12"/>
              <w:szCs w:val="12"/>
              <w:lang w:val="fr-BE" w:eastAsia="es-ES"/>
            </w:rPr>
            <w:t>Delegación</w:t>
          </w:r>
          <w:proofErr w:type="spellEnd"/>
          <w:r>
            <w:rPr>
              <w:b/>
              <w:i/>
              <w:color w:val="808080" w:themeColor="background1" w:themeShade="80"/>
              <w:sz w:val="12"/>
              <w:szCs w:val="12"/>
              <w:lang w:val="fr-BE" w:eastAsia="es-ES"/>
            </w:rPr>
            <w:t xml:space="preserve"> en </w:t>
          </w:r>
          <w:proofErr w:type="spellStart"/>
          <w:r>
            <w:rPr>
              <w:b/>
              <w:i/>
              <w:color w:val="808080" w:themeColor="background1" w:themeShade="80"/>
              <w:sz w:val="12"/>
              <w:szCs w:val="12"/>
              <w:lang w:val="fr-BE" w:eastAsia="es-ES"/>
            </w:rPr>
            <w:t>Bruselas</w:t>
          </w:r>
          <w:proofErr w:type="spellEnd"/>
        </w:p>
      </w:tc>
    </w:tr>
  </w:tbl>
  <w:p w14:paraId="25AC3A94" w14:textId="77777777" w:rsidR="00895C72" w:rsidRPr="00895C72" w:rsidRDefault="00895C72">
    <w:pPr>
      <w:pStyle w:val="Piedepgina"/>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2300D" w14:textId="77777777" w:rsidR="00B80BEC" w:rsidRDefault="00B80BEC" w:rsidP="00B80BEC">
      <w:pPr>
        <w:spacing w:after="0" w:line="240" w:lineRule="auto"/>
      </w:pPr>
      <w:r>
        <w:separator/>
      </w:r>
    </w:p>
  </w:footnote>
  <w:footnote w:type="continuationSeparator" w:id="0">
    <w:p w14:paraId="433D500B" w14:textId="77777777" w:rsidR="00B80BEC" w:rsidRDefault="00B80BEC" w:rsidP="00B80BEC">
      <w:pPr>
        <w:spacing w:after="0" w:line="240" w:lineRule="auto"/>
      </w:pPr>
      <w:r>
        <w:continuationSeparator/>
      </w:r>
    </w:p>
  </w:footnote>
  <w:footnote w:id="1">
    <w:p w14:paraId="588FA805" w14:textId="77777777" w:rsidR="00895C72" w:rsidRDefault="00895C72">
      <w:pPr>
        <w:pStyle w:val="Textonotapie"/>
      </w:pPr>
      <w:r>
        <w:rPr>
          <w:rStyle w:val="Refdenotaalpie"/>
        </w:rPr>
        <w:footnoteRef/>
      </w:r>
      <w:r>
        <w:t xml:space="preserve"> </w:t>
      </w:r>
      <w:hyperlink r:id="rId1" w:history="1">
        <w:r w:rsidRPr="003121D7">
          <w:rPr>
            <w:rStyle w:val="Hipervnculo"/>
          </w:rPr>
          <w:t>http://ec.europa.eu/environment/waste/plastic_waste.htm</w:t>
        </w:r>
      </w:hyperlink>
      <w:r>
        <w:t xml:space="preserve"> </w:t>
      </w:r>
    </w:p>
  </w:footnote>
  <w:footnote w:id="2">
    <w:p w14:paraId="1A2DAC86" w14:textId="77777777" w:rsidR="00B80BEC" w:rsidRDefault="00B80BEC" w:rsidP="00B80BEC">
      <w:pPr>
        <w:spacing w:after="0" w:line="240" w:lineRule="auto"/>
        <w:jc w:val="both"/>
      </w:pPr>
      <w:r>
        <w:rPr>
          <w:rStyle w:val="Refdenotaalpie"/>
        </w:rPr>
        <w:footnoteRef/>
      </w:r>
      <w:r>
        <w:t xml:space="preserve"> </w:t>
      </w:r>
      <w:hyperlink r:id="rId2" w:history="1">
        <w:r w:rsidRPr="003121D7">
          <w:rPr>
            <w:rStyle w:val="Hipervnculo"/>
          </w:rPr>
          <w:t>http://ec.europa.eu/smart-regulation/roadmaps/docs/plan_2016_39_plastic_strategy_en.pdf</w:t>
        </w:r>
      </w:hyperlink>
    </w:p>
  </w:footnote>
  <w:footnote w:id="3">
    <w:p w14:paraId="654048F3" w14:textId="77777777" w:rsidR="00895C72" w:rsidRDefault="00895C72" w:rsidP="00895C72">
      <w:pPr>
        <w:spacing w:after="0" w:line="240" w:lineRule="auto"/>
        <w:jc w:val="both"/>
      </w:pPr>
      <w:r>
        <w:rPr>
          <w:rStyle w:val="Refdenotaalpie"/>
        </w:rPr>
        <w:footnoteRef/>
      </w:r>
      <w:r>
        <w:t xml:space="preserve"> </w:t>
      </w:r>
      <w:r>
        <w:t xml:space="preserve">Ver también Infografía, </w:t>
      </w:r>
      <w:hyperlink r:id="rId3" w:history="1">
        <w:r w:rsidRPr="003121D7">
          <w:rPr>
            <w:rStyle w:val="Hipervnculo"/>
          </w:rPr>
          <w:t>http://ec.europa.eu/environment/waste/pdf/plastic_waste_factsheet.pdf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2B710" w14:textId="77777777" w:rsidR="00895C72" w:rsidRDefault="00895C72" w:rsidP="00895C72">
    <w:pPr>
      <w:pStyle w:val="Encabezado"/>
      <w:jc w:val="right"/>
    </w:pPr>
    <w:r>
      <w:rPr>
        <w:noProof/>
        <w:lang w:eastAsia="es-ES"/>
      </w:rPr>
      <w:drawing>
        <wp:inline distT="0" distB="0" distL="0" distR="0" wp14:anchorId="7FE84C27" wp14:editId="0DBE842F">
          <wp:extent cx="504825" cy="504825"/>
          <wp:effectExtent l="0" t="0" r="9525" b="9525"/>
          <wp:docPr id="1" name="Imagen 1" descr="delgacion de bruselas navarra bilaketarekin bat datozen irudi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lgacion de bruselas navarra bilaketarekin bat datozen irudi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14:paraId="44A5D1F4" w14:textId="77777777" w:rsidR="00895C72" w:rsidRDefault="00895C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5604"/>
    <w:multiLevelType w:val="hybridMultilevel"/>
    <w:tmpl w:val="7F80C3C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F5A7138"/>
    <w:multiLevelType w:val="hybridMultilevel"/>
    <w:tmpl w:val="F68885E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AE67CF"/>
    <w:multiLevelType w:val="hybridMultilevel"/>
    <w:tmpl w:val="9BA6D7F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B9752A3"/>
    <w:multiLevelType w:val="hybridMultilevel"/>
    <w:tmpl w:val="BE5A3DA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1735FFD"/>
    <w:multiLevelType w:val="hybridMultilevel"/>
    <w:tmpl w:val="CDBC546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BD57C75"/>
    <w:multiLevelType w:val="hybridMultilevel"/>
    <w:tmpl w:val="64A0AB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2A8"/>
    <w:rsid w:val="00024ADA"/>
    <w:rsid w:val="004F4F74"/>
    <w:rsid w:val="007672A8"/>
    <w:rsid w:val="00873BBD"/>
    <w:rsid w:val="00895C72"/>
    <w:rsid w:val="00B80B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E02FE"/>
  <w15:chartTrackingRefBased/>
  <w15:docId w15:val="{1087D081-B124-4E7C-A511-5121C95C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0B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80B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72A8"/>
    <w:pPr>
      <w:ind w:left="720"/>
      <w:contextualSpacing/>
    </w:pPr>
  </w:style>
  <w:style w:type="character" w:styleId="Hipervnculo">
    <w:name w:val="Hyperlink"/>
    <w:basedOn w:val="Fuentedeprrafopredeter"/>
    <w:uiPriority w:val="99"/>
    <w:unhideWhenUsed/>
    <w:rsid w:val="00024ADA"/>
    <w:rPr>
      <w:color w:val="0563C1" w:themeColor="hyperlink"/>
      <w:u w:val="single"/>
    </w:rPr>
  </w:style>
  <w:style w:type="character" w:styleId="Mencinsinresolver">
    <w:name w:val="Unresolved Mention"/>
    <w:basedOn w:val="Fuentedeprrafopredeter"/>
    <w:uiPriority w:val="99"/>
    <w:semiHidden/>
    <w:unhideWhenUsed/>
    <w:rsid w:val="00024ADA"/>
    <w:rPr>
      <w:color w:val="808080"/>
      <w:shd w:val="clear" w:color="auto" w:fill="E6E6E6"/>
    </w:rPr>
  </w:style>
  <w:style w:type="paragraph" w:styleId="TDC1">
    <w:name w:val="toc 1"/>
    <w:basedOn w:val="Normal"/>
    <w:next w:val="Normal"/>
    <w:autoRedefine/>
    <w:uiPriority w:val="39"/>
    <w:unhideWhenUsed/>
    <w:qFormat/>
    <w:rsid w:val="00B80BEC"/>
    <w:pPr>
      <w:tabs>
        <w:tab w:val="right" w:leader="dot" w:pos="8497"/>
      </w:tabs>
      <w:spacing w:before="120" w:after="120" w:line="240" w:lineRule="auto"/>
      <w:jc w:val="both"/>
    </w:pPr>
    <w:rPr>
      <w:rFonts w:ascii="Calibri" w:eastAsia="Times New Roman" w:hAnsi="Calibri" w:cs="Times New Roman"/>
      <w:b/>
      <w:bCs/>
      <w:caps/>
      <w:noProof/>
      <w:sz w:val="20"/>
      <w:szCs w:val="24"/>
      <w:lang w:val="eu-ES" w:eastAsia="eu-ES"/>
    </w:rPr>
  </w:style>
  <w:style w:type="character" w:customStyle="1" w:styleId="Ttulo1Car">
    <w:name w:val="Título 1 Car"/>
    <w:basedOn w:val="Fuentedeprrafopredeter"/>
    <w:link w:val="Ttulo1"/>
    <w:uiPriority w:val="9"/>
    <w:rsid w:val="00B80BEC"/>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semiHidden/>
    <w:unhideWhenUsed/>
    <w:qFormat/>
    <w:rsid w:val="00B80BEC"/>
    <w:pPr>
      <w:spacing w:before="480" w:line="276" w:lineRule="auto"/>
      <w:jc w:val="both"/>
      <w:outlineLvl w:val="9"/>
    </w:pPr>
    <w:rPr>
      <w:rFonts w:ascii="Cambria" w:eastAsia="Times New Roman" w:hAnsi="Cambria" w:cs="Times New Roman"/>
      <w:b/>
      <w:bCs/>
      <w:color w:val="365F91"/>
      <w:sz w:val="28"/>
      <w:szCs w:val="28"/>
      <w:lang w:val="eu-ES"/>
    </w:rPr>
  </w:style>
  <w:style w:type="character" w:customStyle="1" w:styleId="Ttulo2Car">
    <w:name w:val="Título 2 Car"/>
    <w:basedOn w:val="Fuentedeprrafopredeter"/>
    <w:link w:val="Ttulo2"/>
    <w:uiPriority w:val="9"/>
    <w:rsid w:val="00B80BEC"/>
    <w:rPr>
      <w:rFonts w:asciiTheme="majorHAnsi" w:eastAsiaTheme="majorEastAsia" w:hAnsiTheme="majorHAnsi" w:cstheme="majorBidi"/>
      <w:color w:val="2F5496" w:themeColor="accent1" w:themeShade="BF"/>
      <w:sz w:val="26"/>
      <w:szCs w:val="26"/>
    </w:rPr>
  </w:style>
  <w:style w:type="paragraph" w:styleId="Textonotapie">
    <w:name w:val="footnote text"/>
    <w:basedOn w:val="Normal"/>
    <w:link w:val="TextonotapieCar"/>
    <w:uiPriority w:val="99"/>
    <w:semiHidden/>
    <w:unhideWhenUsed/>
    <w:rsid w:val="00B80B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0BEC"/>
    <w:rPr>
      <w:sz w:val="20"/>
      <w:szCs w:val="20"/>
    </w:rPr>
  </w:style>
  <w:style w:type="character" w:styleId="Refdenotaalpie">
    <w:name w:val="footnote reference"/>
    <w:basedOn w:val="Fuentedeprrafopredeter"/>
    <w:uiPriority w:val="99"/>
    <w:semiHidden/>
    <w:unhideWhenUsed/>
    <w:rsid w:val="00B80BEC"/>
    <w:rPr>
      <w:vertAlign w:val="superscript"/>
    </w:rPr>
  </w:style>
  <w:style w:type="table" w:styleId="Tablaconcuadrcula">
    <w:name w:val="Table Grid"/>
    <w:basedOn w:val="Tablanormal"/>
    <w:uiPriority w:val="39"/>
    <w:rsid w:val="00895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5oscura-nfasis5">
    <w:name w:val="Grid Table 5 Dark Accent 5"/>
    <w:basedOn w:val="Tablanormal"/>
    <w:uiPriority w:val="50"/>
    <w:rsid w:val="00895C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TDC2">
    <w:name w:val="toc 2"/>
    <w:basedOn w:val="Normal"/>
    <w:next w:val="Normal"/>
    <w:autoRedefine/>
    <w:uiPriority w:val="39"/>
    <w:unhideWhenUsed/>
    <w:rsid w:val="00895C72"/>
    <w:pPr>
      <w:spacing w:after="100"/>
      <w:ind w:left="220"/>
    </w:pPr>
  </w:style>
  <w:style w:type="paragraph" w:styleId="Encabezado">
    <w:name w:val="header"/>
    <w:basedOn w:val="Normal"/>
    <w:link w:val="EncabezadoCar"/>
    <w:uiPriority w:val="99"/>
    <w:unhideWhenUsed/>
    <w:rsid w:val="00895C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5C72"/>
  </w:style>
  <w:style w:type="paragraph" w:styleId="Piedepgina">
    <w:name w:val="footer"/>
    <w:basedOn w:val="Normal"/>
    <w:link w:val="PiedepginaCar"/>
    <w:uiPriority w:val="99"/>
    <w:unhideWhenUsed/>
    <w:rsid w:val="00895C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5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loopplatform.eu" TargetMode="External"/><Relationship Id="rId13" Type="http://schemas.openxmlformats.org/officeDocument/2006/relationships/hyperlink" Target="http://www.plasticsrecyclers.eu/about-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sticsconverters.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sticseurope.org" TargetMode="External"/><Relationship Id="rId5" Type="http://schemas.openxmlformats.org/officeDocument/2006/relationships/webSettings" Target="webSettings.xml"/><Relationship Id="rId15" Type="http://schemas.openxmlformats.org/officeDocument/2006/relationships/hyperlink" Target="http://rethinkplasticalliance.eu" TargetMode="External"/><Relationship Id="rId10" Type="http://schemas.openxmlformats.org/officeDocument/2006/relationships/hyperlink" Target="http://www.asegr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ead.be" TargetMode="External"/><Relationship Id="rId14" Type="http://schemas.openxmlformats.org/officeDocument/2006/relationships/hyperlink" Target="http://www.plasticsrecyclers.eu/management-committe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waste/pdf/plastic_waste_factsheet.pdf" TargetMode="External"/><Relationship Id="rId2" Type="http://schemas.openxmlformats.org/officeDocument/2006/relationships/hyperlink" Target="http://ec.europa.eu/smart-regulation/roadmaps/docs/plan_2016_39_plastic_strategy_en.pdf" TargetMode="External"/><Relationship Id="rId1" Type="http://schemas.openxmlformats.org/officeDocument/2006/relationships/hyperlink" Target="http://ec.europa.eu/environment/waste/plastic_wast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7B77F-ADBF-4509-9733-A15CA4B91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2293</Words>
  <Characters>12615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Mikel Irujo</dc:creator>
  <cp:keywords/>
  <dc:description/>
  <cp:lastModifiedBy>Mikel Irujo</cp:lastModifiedBy>
  <cp:revision>2</cp:revision>
  <dcterms:created xsi:type="dcterms:W3CDTF">2017-10-23T05:15:00Z</dcterms:created>
  <dcterms:modified xsi:type="dcterms:W3CDTF">2017-10-23T06:25:00Z</dcterms:modified>
</cp:coreProperties>
</file>