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DD7" w:rsidRDefault="00A15E21" w:rsidP="0011352C">
      <w:pPr>
        <w:spacing w:after="0" w:line="240" w:lineRule="auto"/>
        <w:jc w:val="both"/>
      </w:pPr>
    </w:p>
    <w:p w:rsidR="000919AA" w:rsidRDefault="000919AA" w:rsidP="0011352C">
      <w:pPr>
        <w:spacing w:after="0" w:line="240" w:lineRule="auto"/>
        <w:jc w:val="both"/>
      </w:pPr>
    </w:p>
    <w:p w:rsidR="00964925" w:rsidRDefault="00964925" w:rsidP="0011352C">
      <w:pPr>
        <w:spacing w:after="0" w:line="240" w:lineRule="auto"/>
        <w:jc w:val="both"/>
      </w:pPr>
    </w:p>
    <w:tbl>
      <w:tblPr>
        <w:tblStyle w:val="Tablaconcuadrcula"/>
        <w:tblW w:w="0" w:type="auto"/>
        <w:tblLook w:val="04A0" w:firstRow="1" w:lastRow="0" w:firstColumn="1" w:lastColumn="0" w:noHBand="0" w:noVBand="1"/>
      </w:tblPr>
      <w:tblGrid>
        <w:gridCol w:w="8494"/>
      </w:tblGrid>
      <w:tr w:rsidR="00EC3F6A" w:rsidTr="00EC3F6A">
        <w:tc>
          <w:tcPr>
            <w:tcW w:w="8494" w:type="dxa"/>
          </w:tcPr>
          <w:p w:rsidR="00EC3F6A" w:rsidRPr="007B239C" w:rsidRDefault="0080529D" w:rsidP="0011352C">
            <w:pPr>
              <w:jc w:val="center"/>
              <w:rPr>
                <w:rFonts w:ascii="Tahoma" w:hAnsi="Tahoma" w:cs="Tahoma"/>
                <w:color w:val="0070C0"/>
                <w:sz w:val="44"/>
                <w:szCs w:val="44"/>
              </w:rPr>
            </w:pPr>
            <w:r>
              <w:rPr>
                <w:rFonts w:ascii="Tahoma" w:hAnsi="Tahoma" w:cs="Tahoma"/>
                <w:color w:val="0070C0"/>
                <w:sz w:val="44"/>
                <w:szCs w:val="44"/>
              </w:rPr>
              <w:t>Política Inmigración UE</w:t>
            </w:r>
            <w:r w:rsidR="001C5D6F">
              <w:rPr>
                <w:rFonts w:ascii="Tahoma" w:hAnsi="Tahoma" w:cs="Tahoma"/>
                <w:color w:val="0070C0"/>
                <w:sz w:val="44"/>
                <w:szCs w:val="44"/>
              </w:rPr>
              <w:t xml:space="preserve"> – Marco Legal</w:t>
            </w:r>
          </w:p>
          <w:p w:rsidR="00EC3F6A" w:rsidRDefault="00EC3F6A" w:rsidP="0011352C">
            <w:pPr>
              <w:jc w:val="center"/>
            </w:pPr>
            <w:r w:rsidRPr="007B239C">
              <w:rPr>
                <w:rFonts w:ascii="Tahoma" w:hAnsi="Tahoma" w:cs="Tahoma"/>
                <w:color w:val="0070C0"/>
                <w:sz w:val="44"/>
                <w:szCs w:val="44"/>
              </w:rPr>
              <w:t>Ficha técnica</w:t>
            </w:r>
          </w:p>
        </w:tc>
      </w:tr>
    </w:tbl>
    <w:p w:rsidR="00964925" w:rsidRDefault="00964925" w:rsidP="0011352C">
      <w:pPr>
        <w:spacing w:after="0" w:line="240" w:lineRule="auto"/>
        <w:jc w:val="both"/>
      </w:pPr>
    </w:p>
    <w:p w:rsidR="00964925" w:rsidRDefault="00964925" w:rsidP="0011352C">
      <w:pPr>
        <w:spacing w:after="0" w:line="240" w:lineRule="auto"/>
        <w:jc w:val="both"/>
      </w:pPr>
    </w:p>
    <w:p w:rsidR="000919AA" w:rsidRDefault="000919AA" w:rsidP="0011352C">
      <w:pPr>
        <w:spacing w:after="0" w:line="240" w:lineRule="auto"/>
        <w:jc w:val="both"/>
      </w:pPr>
    </w:p>
    <w:p w:rsidR="000919AA" w:rsidRDefault="000919AA" w:rsidP="0011352C">
      <w:pPr>
        <w:spacing w:after="0" w:line="240" w:lineRule="auto"/>
        <w:jc w:val="both"/>
      </w:pPr>
    </w:p>
    <w:p w:rsidR="003031F6" w:rsidRPr="008B6479" w:rsidRDefault="003031F6" w:rsidP="003031F6">
      <w:pPr>
        <w:pStyle w:val="TtulodeTDC"/>
        <w:rPr>
          <w:lang w:val="es-ES"/>
        </w:rPr>
      </w:pPr>
      <w:r w:rsidRPr="008B6479">
        <w:rPr>
          <w:lang w:val="es-ES"/>
        </w:rPr>
        <w:t>Contenido</w:t>
      </w:r>
    </w:p>
    <w:p w:rsidR="000919AA" w:rsidRDefault="003031F6">
      <w:pPr>
        <w:pStyle w:val="TDC1"/>
        <w:rPr>
          <w:rFonts w:asciiTheme="minorHAnsi" w:eastAsiaTheme="minorEastAsia" w:hAnsiTheme="minorHAnsi" w:cstheme="minorBidi"/>
          <w:b w:val="0"/>
          <w:bCs w:val="0"/>
          <w:caps w:val="0"/>
          <w:sz w:val="22"/>
          <w:szCs w:val="22"/>
          <w:lang w:val="es-ES" w:eastAsia="es-ES"/>
        </w:rPr>
      </w:pPr>
      <w:r w:rsidRPr="008B6479">
        <w:rPr>
          <w:rFonts w:ascii="Times New Roman" w:hAnsi="Times New Roman"/>
          <w:lang w:val="es-ES"/>
        </w:rPr>
        <w:fldChar w:fldCharType="begin"/>
      </w:r>
      <w:r w:rsidRPr="008B6479">
        <w:rPr>
          <w:rFonts w:ascii="Times New Roman" w:hAnsi="Times New Roman"/>
          <w:lang w:val="es-ES"/>
        </w:rPr>
        <w:instrText xml:space="preserve"> TOC \o "1-3" \h \z \u </w:instrText>
      </w:r>
      <w:r w:rsidRPr="008B6479">
        <w:rPr>
          <w:rFonts w:ascii="Times New Roman" w:hAnsi="Times New Roman"/>
          <w:lang w:val="es-ES"/>
        </w:rPr>
        <w:fldChar w:fldCharType="separate"/>
      </w:r>
      <w:hyperlink w:anchor="_Toc460219578" w:history="1">
        <w:r w:rsidR="000919AA" w:rsidRPr="00CE7F5A">
          <w:rPr>
            <w:rStyle w:val="Hipervnculo"/>
          </w:rPr>
          <w:t>Marco Legal</w:t>
        </w:r>
        <w:r w:rsidR="000919AA">
          <w:rPr>
            <w:webHidden/>
          </w:rPr>
          <w:tab/>
        </w:r>
        <w:r w:rsidR="000919AA">
          <w:rPr>
            <w:webHidden/>
          </w:rPr>
          <w:fldChar w:fldCharType="begin"/>
        </w:r>
        <w:r w:rsidR="000919AA">
          <w:rPr>
            <w:webHidden/>
          </w:rPr>
          <w:instrText xml:space="preserve"> PAGEREF _Toc460219578 \h </w:instrText>
        </w:r>
        <w:r w:rsidR="000919AA">
          <w:rPr>
            <w:webHidden/>
          </w:rPr>
        </w:r>
        <w:r w:rsidR="000919AA">
          <w:rPr>
            <w:webHidden/>
          </w:rPr>
          <w:fldChar w:fldCharType="separate"/>
        </w:r>
        <w:r w:rsidR="000919AA">
          <w:rPr>
            <w:webHidden/>
          </w:rPr>
          <w:t>2</w:t>
        </w:r>
        <w:r w:rsidR="000919AA">
          <w:rPr>
            <w:webHidden/>
          </w:rPr>
          <w:fldChar w:fldCharType="end"/>
        </w:r>
      </w:hyperlink>
    </w:p>
    <w:p w:rsidR="000919AA" w:rsidRDefault="000919AA">
      <w:pPr>
        <w:pStyle w:val="TDC2"/>
        <w:tabs>
          <w:tab w:val="right" w:leader="dot" w:pos="8494"/>
        </w:tabs>
        <w:rPr>
          <w:rFonts w:asciiTheme="minorHAnsi" w:eastAsiaTheme="minorEastAsia" w:hAnsiTheme="minorHAnsi" w:cstheme="minorBidi"/>
          <w:noProof/>
          <w:sz w:val="22"/>
          <w:szCs w:val="22"/>
          <w:lang w:val="es-ES" w:eastAsia="es-ES"/>
        </w:rPr>
      </w:pPr>
      <w:hyperlink w:anchor="_Toc460219579" w:history="1">
        <w:r w:rsidRPr="00CE7F5A">
          <w:rPr>
            <w:rStyle w:val="Hipervnculo"/>
            <w:noProof/>
          </w:rPr>
          <w:t>Carta de Derechos Fundamentales de la UE</w:t>
        </w:r>
        <w:r>
          <w:rPr>
            <w:noProof/>
            <w:webHidden/>
          </w:rPr>
          <w:tab/>
        </w:r>
        <w:r>
          <w:rPr>
            <w:noProof/>
            <w:webHidden/>
          </w:rPr>
          <w:fldChar w:fldCharType="begin"/>
        </w:r>
        <w:r>
          <w:rPr>
            <w:noProof/>
            <w:webHidden/>
          </w:rPr>
          <w:instrText xml:space="preserve"> PAGEREF _Toc460219579 \h </w:instrText>
        </w:r>
        <w:r>
          <w:rPr>
            <w:noProof/>
            <w:webHidden/>
          </w:rPr>
        </w:r>
        <w:r>
          <w:rPr>
            <w:noProof/>
            <w:webHidden/>
          </w:rPr>
          <w:fldChar w:fldCharType="separate"/>
        </w:r>
        <w:r>
          <w:rPr>
            <w:noProof/>
            <w:webHidden/>
          </w:rPr>
          <w:t>2</w:t>
        </w:r>
        <w:r>
          <w:rPr>
            <w:noProof/>
            <w:webHidden/>
          </w:rPr>
          <w:fldChar w:fldCharType="end"/>
        </w:r>
      </w:hyperlink>
    </w:p>
    <w:p w:rsidR="000919AA" w:rsidRDefault="000919AA">
      <w:pPr>
        <w:pStyle w:val="TDC2"/>
        <w:tabs>
          <w:tab w:val="right" w:leader="dot" w:pos="8494"/>
        </w:tabs>
        <w:rPr>
          <w:rFonts w:asciiTheme="minorHAnsi" w:eastAsiaTheme="minorEastAsia" w:hAnsiTheme="minorHAnsi" w:cstheme="minorBidi"/>
          <w:noProof/>
          <w:sz w:val="22"/>
          <w:szCs w:val="22"/>
          <w:lang w:val="es-ES" w:eastAsia="es-ES"/>
        </w:rPr>
      </w:pPr>
      <w:hyperlink w:anchor="_Toc460219580" w:history="1">
        <w:r w:rsidRPr="00CE7F5A">
          <w:rPr>
            <w:rStyle w:val="Hipervnculo"/>
            <w:noProof/>
          </w:rPr>
          <w:t xml:space="preserve">Tratado de la UE y </w:t>
        </w:r>
        <w:r w:rsidRPr="00CE7F5A">
          <w:rPr>
            <w:rStyle w:val="Hipervnculo"/>
            <w:i/>
            <w:noProof/>
          </w:rPr>
          <w:t>Directiva Retorno</w:t>
        </w:r>
        <w:r>
          <w:rPr>
            <w:noProof/>
            <w:webHidden/>
          </w:rPr>
          <w:tab/>
        </w:r>
        <w:r>
          <w:rPr>
            <w:noProof/>
            <w:webHidden/>
          </w:rPr>
          <w:fldChar w:fldCharType="begin"/>
        </w:r>
        <w:r>
          <w:rPr>
            <w:noProof/>
            <w:webHidden/>
          </w:rPr>
          <w:instrText xml:space="preserve"> PAGEREF _Toc460219580 \h </w:instrText>
        </w:r>
        <w:r>
          <w:rPr>
            <w:noProof/>
            <w:webHidden/>
          </w:rPr>
        </w:r>
        <w:r>
          <w:rPr>
            <w:noProof/>
            <w:webHidden/>
          </w:rPr>
          <w:fldChar w:fldCharType="separate"/>
        </w:r>
        <w:r>
          <w:rPr>
            <w:noProof/>
            <w:webHidden/>
          </w:rPr>
          <w:t>2</w:t>
        </w:r>
        <w:r>
          <w:rPr>
            <w:noProof/>
            <w:webHidden/>
          </w:rPr>
          <w:fldChar w:fldCharType="end"/>
        </w:r>
      </w:hyperlink>
    </w:p>
    <w:p w:rsidR="000919AA" w:rsidRDefault="000919AA">
      <w:pPr>
        <w:pStyle w:val="TDC2"/>
        <w:tabs>
          <w:tab w:val="right" w:leader="dot" w:pos="8494"/>
        </w:tabs>
        <w:rPr>
          <w:rFonts w:asciiTheme="minorHAnsi" w:eastAsiaTheme="minorEastAsia" w:hAnsiTheme="minorHAnsi" w:cstheme="minorBidi"/>
          <w:noProof/>
          <w:sz w:val="22"/>
          <w:szCs w:val="22"/>
          <w:lang w:val="es-ES" w:eastAsia="es-ES"/>
        </w:rPr>
      </w:pPr>
      <w:hyperlink w:anchor="_Toc460219581" w:history="1">
        <w:r w:rsidRPr="00CE7F5A">
          <w:rPr>
            <w:rStyle w:val="Hipervnculo"/>
            <w:noProof/>
          </w:rPr>
          <w:t>Convenio Europeo de Derechos Humanos (Consejo de Europa)</w:t>
        </w:r>
        <w:r>
          <w:rPr>
            <w:noProof/>
            <w:webHidden/>
          </w:rPr>
          <w:tab/>
        </w:r>
        <w:r>
          <w:rPr>
            <w:noProof/>
            <w:webHidden/>
          </w:rPr>
          <w:fldChar w:fldCharType="begin"/>
        </w:r>
        <w:r>
          <w:rPr>
            <w:noProof/>
            <w:webHidden/>
          </w:rPr>
          <w:instrText xml:space="preserve"> PAGEREF _Toc460219581 \h </w:instrText>
        </w:r>
        <w:r>
          <w:rPr>
            <w:noProof/>
            <w:webHidden/>
          </w:rPr>
        </w:r>
        <w:r>
          <w:rPr>
            <w:noProof/>
            <w:webHidden/>
          </w:rPr>
          <w:fldChar w:fldCharType="separate"/>
        </w:r>
        <w:r>
          <w:rPr>
            <w:noProof/>
            <w:webHidden/>
          </w:rPr>
          <w:t>3</w:t>
        </w:r>
        <w:r>
          <w:rPr>
            <w:noProof/>
            <w:webHidden/>
          </w:rPr>
          <w:fldChar w:fldCharType="end"/>
        </w:r>
      </w:hyperlink>
    </w:p>
    <w:p w:rsidR="000919AA" w:rsidRDefault="000919AA">
      <w:pPr>
        <w:pStyle w:val="TDC2"/>
        <w:tabs>
          <w:tab w:val="right" w:leader="dot" w:pos="8494"/>
        </w:tabs>
        <w:rPr>
          <w:rFonts w:asciiTheme="minorHAnsi" w:eastAsiaTheme="minorEastAsia" w:hAnsiTheme="minorHAnsi" w:cstheme="minorBidi"/>
          <w:noProof/>
          <w:sz w:val="22"/>
          <w:szCs w:val="22"/>
          <w:lang w:val="es-ES" w:eastAsia="es-ES"/>
        </w:rPr>
      </w:pPr>
      <w:hyperlink w:anchor="_Toc460219582" w:history="1">
        <w:r w:rsidRPr="00CE7F5A">
          <w:rPr>
            <w:rStyle w:val="Hipervnculo"/>
            <w:noProof/>
          </w:rPr>
          <w:t>Acuerdo UE-Turquía de 18 marzo 2016</w:t>
        </w:r>
        <w:r>
          <w:rPr>
            <w:noProof/>
            <w:webHidden/>
          </w:rPr>
          <w:tab/>
        </w:r>
        <w:r>
          <w:rPr>
            <w:noProof/>
            <w:webHidden/>
          </w:rPr>
          <w:fldChar w:fldCharType="begin"/>
        </w:r>
        <w:r>
          <w:rPr>
            <w:noProof/>
            <w:webHidden/>
          </w:rPr>
          <w:instrText xml:space="preserve"> PAGEREF _Toc460219582 \h </w:instrText>
        </w:r>
        <w:r>
          <w:rPr>
            <w:noProof/>
            <w:webHidden/>
          </w:rPr>
        </w:r>
        <w:r>
          <w:rPr>
            <w:noProof/>
            <w:webHidden/>
          </w:rPr>
          <w:fldChar w:fldCharType="separate"/>
        </w:r>
        <w:r>
          <w:rPr>
            <w:noProof/>
            <w:webHidden/>
          </w:rPr>
          <w:t>4</w:t>
        </w:r>
        <w:r>
          <w:rPr>
            <w:noProof/>
            <w:webHidden/>
          </w:rPr>
          <w:fldChar w:fldCharType="end"/>
        </w:r>
      </w:hyperlink>
    </w:p>
    <w:p w:rsidR="000919AA" w:rsidRDefault="000919AA">
      <w:pPr>
        <w:pStyle w:val="TDC1"/>
        <w:rPr>
          <w:rFonts w:asciiTheme="minorHAnsi" w:eastAsiaTheme="minorEastAsia" w:hAnsiTheme="minorHAnsi" w:cstheme="minorBidi"/>
          <w:b w:val="0"/>
          <w:bCs w:val="0"/>
          <w:caps w:val="0"/>
          <w:sz w:val="22"/>
          <w:szCs w:val="22"/>
          <w:lang w:val="es-ES" w:eastAsia="es-ES"/>
        </w:rPr>
      </w:pPr>
      <w:hyperlink w:anchor="_Toc460219583" w:history="1">
        <w:r w:rsidRPr="00CE7F5A">
          <w:rPr>
            <w:rStyle w:val="Hipervnculo"/>
          </w:rPr>
          <w:t>Comité de las Regiones – buenas prácticas regionales</w:t>
        </w:r>
        <w:r>
          <w:rPr>
            <w:webHidden/>
          </w:rPr>
          <w:tab/>
        </w:r>
        <w:r>
          <w:rPr>
            <w:webHidden/>
          </w:rPr>
          <w:fldChar w:fldCharType="begin"/>
        </w:r>
        <w:r>
          <w:rPr>
            <w:webHidden/>
          </w:rPr>
          <w:instrText xml:space="preserve"> PAGEREF _Toc460219583 \h </w:instrText>
        </w:r>
        <w:r>
          <w:rPr>
            <w:webHidden/>
          </w:rPr>
        </w:r>
        <w:r>
          <w:rPr>
            <w:webHidden/>
          </w:rPr>
          <w:fldChar w:fldCharType="separate"/>
        </w:r>
        <w:r>
          <w:rPr>
            <w:webHidden/>
          </w:rPr>
          <w:t>4</w:t>
        </w:r>
        <w:r>
          <w:rPr>
            <w:webHidden/>
          </w:rPr>
          <w:fldChar w:fldCharType="end"/>
        </w:r>
      </w:hyperlink>
    </w:p>
    <w:p w:rsidR="000919AA" w:rsidRDefault="000919AA">
      <w:pPr>
        <w:pStyle w:val="TDC1"/>
        <w:rPr>
          <w:rFonts w:asciiTheme="minorHAnsi" w:eastAsiaTheme="minorEastAsia" w:hAnsiTheme="minorHAnsi" w:cstheme="minorBidi"/>
          <w:b w:val="0"/>
          <w:bCs w:val="0"/>
          <w:caps w:val="0"/>
          <w:sz w:val="22"/>
          <w:szCs w:val="22"/>
          <w:lang w:val="es-ES" w:eastAsia="es-ES"/>
        </w:rPr>
      </w:pPr>
      <w:hyperlink w:anchor="_Toc460219584" w:history="1">
        <w:r w:rsidRPr="00CE7F5A">
          <w:rPr>
            <w:rStyle w:val="Hipervnculo"/>
          </w:rPr>
          <w:t>Política de asilo, nueva propuesta de la Comisión</w:t>
        </w:r>
        <w:r>
          <w:rPr>
            <w:webHidden/>
          </w:rPr>
          <w:tab/>
        </w:r>
        <w:r>
          <w:rPr>
            <w:webHidden/>
          </w:rPr>
          <w:fldChar w:fldCharType="begin"/>
        </w:r>
        <w:r>
          <w:rPr>
            <w:webHidden/>
          </w:rPr>
          <w:instrText xml:space="preserve"> PAGEREF _Toc460219584 \h </w:instrText>
        </w:r>
        <w:r>
          <w:rPr>
            <w:webHidden/>
          </w:rPr>
        </w:r>
        <w:r>
          <w:rPr>
            <w:webHidden/>
          </w:rPr>
          <w:fldChar w:fldCharType="separate"/>
        </w:r>
        <w:r>
          <w:rPr>
            <w:webHidden/>
          </w:rPr>
          <w:t>5</w:t>
        </w:r>
        <w:r>
          <w:rPr>
            <w:webHidden/>
          </w:rPr>
          <w:fldChar w:fldCharType="end"/>
        </w:r>
      </w:hyperlink>
    </w:p>
    <w:p w:rsidR="000919AA" w:rsidRDefault="000919AA">
      <w:pPr>
        <w:pStyle w:val="TDC1"/>
        <w:rPr>
          <w:rFonts w:asciiTheme="minorHAnsi" w:eastAsiaTheme="minorEastAsia" w:hAnsiTheme="minorHAnsi" w:cstheme="minorBidi"/>
          <w:b w:val="0"/>
          <w:bCs w:val="0"/>
          <w:caps w:val="0"/>
          <w:sz w:val="22"/>
          <w:szCs w:val="22"/>
          <w:lang w:val="es-ES" w:eastAsia="es-ES"/>
        </w:rPr>
      </w:pPr>
      <w:hyperlink w:anchor="_Toc460219585" w:history="1">
        <w:r w:rsidRPr="00CE7F5A">
          <w:rPr>
            <w:rStyle w:val="Hipervnculo"/>
          </w:rPr>
          <w:t>Fondo de Asilo Migración e Integración (FAMI)</w:t>
        </w:r>
        <w:r>
          <w:rPr>
            <w:webHidden/>
          </w:rPr>
          <w:tab/>
        </w:r>
        <w:r>
          <w:rPr>
            <w:webHidden/>
          </w:rPr>
          <w:fldChar w:fldCharType="begin"/>
        </w:r>
        <w:r>
          <w:rPr>
            <w:webHidden/>
          </w:rPr>
          <w:instrText xml:space="preserve"> PAGEREF _Toc460219585 \h </w:instrText>
        </w:r>
        <w:r>
          <w:rPr>
            <w:webHidden/>
          </w:rPr>
        </w:r>
        <w:r>
          <w:rPr>
            <w:webHidden/>
          </w:rPr>
          <w:fldChar w:fldCharType="separate"/>
        </w:r>
        <w:r>
          <w:rPr>
            <w:webHidden/>
          </w:rPr>
          <w:t>5</w:t>
        </w:r>
        <w:r>
          <w:rPr>
            <w:webHidden/>
          </w:rPr>
          <w:fldChar w:fldCharType="end"/>
        </w:r>
      </w:hyperlink>
    </w:p>
    <w:p w:rsidR="000919AA" w:rsidRDefault="000919AA">
      <w:pPr>
        <w:pStyle w:val="TDC1"/>
        <w:rPr>
          <w:rFonts w:asciiTheme="minorHAnsi" w:eastAsiaTheme="minorEastAsia" w:hAnsiTheme="minorHAnsi" w:cstheme="minorBidi"/>
          <w:b w:val="0"/>
          <w:bCs w:val="0"/>
          <w:caps w:val="0"/>
          <w:sz w:val="22"/>
          <w:szCs w:val="22"/>
          <w:lang w:val="es-ES" w:eastAsia="es-ES"/>
        </w:rPr>
      </w:pPr>
      <w:hyperlink w:anchor="_Toc460219586" w:history="1">
        <w:r w:rsidRPr="00CE7F5A">
          <w:rPr>
            <w:rStyle w:val="Hipervnculo"/>
          </w:rPr>
          <w:t>¿Es “Europa” insolidaria o sólo algunos europeos?</w:t>
        </w:r>
        <w:r>
          <w:rPr>
            <w:webHidden/>
          </w:rPr>
          <w:tab/>
        </w:r>
        <w:r>
          <w:rPr>
            <w:webHidden/>
          </w:rPr>
          <w:fldChar w:fldCharType="begin"/>
        </w:r>
        <w:r>
          <w:rPr>
            <w:webHidden/>
          </w:rPr>
          <w:instrText xml:space="preserve"> PAGEREF _Toc460219586 \h </w:instrText>
        </w:r>
        <w:r>
          <w:rPr>
            <w:webHidden/>
          </w:rPr>
        </w:r>
        <w:r>
          <w:rPr>
            <w:webHidden/>
          </w:rPr>
          <w:fldChar w:fldCharType="separate"/>
        </w:r>
        <w:r>
          <w:rPr>
            <w:webHidden/>
          </w:rPr>
          <w:t>6</w:t>
        </w:r>
        <w:r>
          <w:rPr>
            <w:webHidden/>
          </w:rPr>
          <w:fldChar w:fldCharType="end"/>
        </w:r>
      </w:hyperlink>
    </w:p>
    <w:p w:rsidR="000919AA" w:rsidRDefault="000919AA">
      <w:pPr>
        <w:pStyle w:val="TDC1"/>
        <w:rPr>
          <w:rFonts w:asciiTheme="minorHAnsi" w:eastAsiaTheme="minorEastAsia" w:hAnsiTheme="minorHAnsi" w:cstheme="minorBidi"/>
          <w:b w:val="0"/>
          <w:bCs w:val="0"/>
          <w:caps w:val="0"/>
          <w:sz w:val="22"/>
          <w:szCs w:val="22"/>
          <w:lang w:val="es-ES" w:eastAsia="es-ES"/>
        </w:rPr>
      </w:pPr>
      <w:hyperlink w:anchor="_Toc460219587" w:history="1">
        <w:r w:rsidRPr="00CE7F5A">
          <w:rPr>
            <w:rStyle w:val="Hipervnculo"/>
          </w:rPr>
          <w:t>Links de interés:</w:t>
        </w:r>
        <w:r>
          <w:rPr>
            <w:webHidden/>
          </w:rPr>
          <w:tab/>
        </w:r>
        <w:r>
          <w:rPr>
            <w:webHidden/>
          </w:rPr>
          <w:fldChar w:fldCharType="begin"/>
        </w:r>
        <w:r>
          <w:rPr>
            <w:webHidden/>
          </w:rPr>
          <w:instrText xml:space="preserve"> PAGEREF _Toc460219587 \h </w:instrText>
        </w:r>
        <w:r>
          <w:rPr>
            <w:webHidden/>
          </w:rPr>
        </w:r>
        <w:r>
          <w:rPr>
            <w:webHidden/>
          </w:rPr>
          <w:fldChar w:fldCharType="separate"/>
        </w:r>
        <w:r>
          <w:rPr>
            <w:webHidden/>
          </w:rPr>
          <w:t>7</w:t>
        </w:r>
        <w:r>
          <w:rPr>
            <w:webHidden/>
          </w:rPr>
          <w:fldChar w:fldCharType="end"/>
        </w:r>
      </w:hyperlink>
    </w:p>
    <w:p w:rsidR="00737261" w:rsidRDefault="003031F6" w:rsidP="0011352C">
      <w:pPr>
        <w:spacing w:after="0" w:line="240" w:lineRule="auto"/>
        <w:jc w:val="both"/>
        <w:rPr>
          <w:rFonts w:ascii="Times New Roman" w:hAnsi="Times New Roman"/>
        </w:rPr>
      </w:pPr>
      <w:r w:rsidRPr="008B6479">
        <w:rPr>
          <w:rFonts w:ascii="Times New Roman" w:hAnsi="Times New Roman"/>
        </w:rPr>
        <w:fldChar w:fldCharType="end"/>
      </w:r>
    </w:p>
    <w:p w:rsidR="000919AA" w:rsidRDefault="000919AA">
      <w:pPr>
        <w:rPr>
          <w:rFonts w:ascii="Times New Roman" w:hAnsi="Times New Roman"/>
        </w:rPr>
      </w:pPr>
      <w:r>
        <w:rPr>
          <w:rFonts w:ascii="Times New Roman" w:hAnsi="Times New Roman"/>
        </w:rPr>
        <w:br w:type="page"/>
      </w:r>
    </w:p>
    <w:p w:rsidR="000919AA" w:rsidRDefault="000919AA" w:rsidP="000919AA">
      <w:pPr>
        <w:pStyle w:val="Ttulo1"/>
      </w:pPr>
      <w:bookmarkStart w:id="0" w:name="_Toc460219578"/>
      <w:r>
        <w:lastRenderedPageBreak/>
        <w:t>Marco Legal</w:t>
      </w:r>
      <w:bookmarkEnd w:id="0"/>
    </w:p>
    <w:p w:rsidR="007E44E0" w:rsidRPr="00F5686A" w:rsidRDefault="007E44E0" w:rsidP="000919AA">
      <w:pPr>
        <w:pStyle w:val="Ttulo2"/>
      </w:pPr>
      <w:bookmarkStart w:id="1" w:name="_Toc460219579"/>
      <w:r w:rsidRPr="00F5686A">
        <w:t>Carta de Derechos Fundamentales de la UE</w:t>
      </w:r>
      <w:bookmarkEnd w:id="1"/>
    </w:p>
    <w:p w:rsidR="007E44E0" w:rsidRDefault="007E44E0" w:rsidP="0011352C">
      <w:pPr>
        <w:spacing w:after="0" w:line="240" w:lineRule="auto"/>
        <w:jc w:val="both"/>
      </w:pPr>
    </w:p>
    <w:p w:rsidR="007E44E0" w:rsidRDefault="007E44E0" w:rsidP="0011352C">
      <w:pPr>
        <w:spacing w:after="0" w:line="240" w:lineRule="auto"/>
        <w:jc w:val="both"/>
      </w:pPr>
      <w:r>
        <w:t xml:space="preserve">La UE firma aprueba la Carta de Derechos Fundamentales en el 2000, si bien la misma se incorpora como texto vinculante para los Estados miembros a partir de la reforma de Lisboa, en 2009. La Carta de estructura en diversos títulos sobre ámbitos concretos (dignidad, libertades, solidaridad, ciudadanía y justicia). Así, dentro del título sobre libertades </w:t>
      </w:r>
      <w:r w:rsidR="00466201">
        <w:t xml:space="preserve">se enuncia que “toda </w:t>
      </w:r>
      <w:r w:rsidRPr="007E44E0">
        <w:t>persona tiene derecho a la libertad y a la seguridad</w:t>
      </w:r>
      <w:r w:rsidR="00466201">
        <w:t>” (art. 6) y, concretamente sobre el derecho de asilo “Se garantiza el derecho de asilo dentro del respeto de las normas de la Convención de Ginebra de 28 de julio de 1951 y del Protocolo de 31 de enero de 1967 sobre el Estatuto de los Refugiados y de conformidad con el Tratado de la Unión Europea y con el Tratado de Funcionamiento de la Unión Europea (en lo sucesivo denominados «los Tratados»)” (art. 18). En cuanto a las devoluciones o expulsiones “</w:t>
      </w:r>
      <w:r w:rsidR="00466201" w:rsidRPr="001535E7">
        <w:rPr>
          <w:b/>
        </w:rPr>
        <w:t>se prohíben las expulsiones colectivas</w:t>
      </w:r>
      <w:r w:rsidR="00466201">
        <w:t>” y “</w:t>
      </w:r>
      <w:r w:rsidR="00466201" w:rsidRPr="001535E7">
        <w:rPr>
          <w:b/>
        </w:rPr>
        <w:t>Nadie podrá ser devuelto, expulsado o extraditado a un Estado en el que corra un grave riesgo de ser sometido a la pena de muerte, a tortura o a otras penas o tratos inhumanos o degradantes</w:t>
      </w:r>
      <w:r w:rsidR="00466201">
        <w:t>” (art. 19)</w:t>
      </w:r>
      <w:r w:rsidR="00466201">
        <w:rPr>
          <w:rStyle w:val="Refdenotaalpie"/>
        </w:rPr>
        <w:footnoteReference w:id="1"/>
      </w:r>
      <w:r w:rsidR="00466201">
        <w:t>.</w:t>
      </w:r>
    </w:p>
    <w:p w:rsidR="001535E7" w:rsidRDefault="001535E7" w:rsidP="0011352C">
      <w:pPr>
        <w:spacing w:after="0" w:line="240" w:lineRule="auto"/>
        <w:jc w:val="both"/>
      </w:pPr>
    </w:p>
    <w:p w:rsidR="00466201" w:rsidRPr="00F5686A" w:rsidRDefault="005A1C25" w:rsidP="000919AA">
      <w:pPr>
        <w:pStyle w:val="Ttulo2"/>
      </w:pPr>
      <w:bookmarkStart w:id="2" w:name="_Toc460219580"/>
      <w:r w:rsidRPr="00F5686A">
        <w:t>Tratado de la UE</w:t>
      </w:r>
      <w:r w:rsidR="00F5686A">
        <w:t xml:space="preserve"> y </w:t>
      </w:r>
      <w:r w:rsidR="00F5686A" w:rsidRPr="00F5686A">
        <w:rPr>
          <w:i/>
        </w:rPr>
        <w:t>Directiva Retorno</w:t>
      </w:r>
      <w:bookmarkEnd w:id="2"/>
    </w:p>
    <w:p w:rsidR="001535E7" w:rsidRPr="00F5686A" w:rsidRDefault="001535E7" w:rsidP="0011352C">
      <w:pPr>
        <w:spacing w:after="0" w:line="240" w:lineRule="auto"/>
        <w:jc w:val="both"/>
      </w:pPr>
    </w:p>
    <w:p w:rsidR="00663557" w:rsidRDefault="00663557" w:rsidP="0011352C">
      <w:pPr>
        <w:spacing w:after="0" w:line="240" w:lineRule="auto"/>
        <w:jc w:val="both"/>
      </w:pPr>
      <w:r>
        <w:t xml:space="preserve">El </w:t>
      </w:r>
      <w:r w:rsidRPr="00FA42C6">
        <w:rPr>
          <w:b/>
        </w:rPr>
        <w:t>Tratado de Lisboa</w:t>
      </w:r>
      <w:r>
        <w:t xml:space="preserve"> </w:t>
      </w:r>
      <w:r w:rsidR="005A1C25">
        <w:t xml:space="preserve">(2009) </w:t>
      </w:r>
      <w:r>
        <w:t>introdujo cambios sustanciales en la política de inmigración de la UE. El más destacable, la introducción del procedimiento legislativo ordinario, es decir, la participación del Parlamento Europeo</w:t>
      </w:r>
      <w:r w:rsidR="00BA7E32">
        <w:rPr>
          <w:rStyle w:val="Refdenotaalpie"/>
        </w:rPr>
        <w:footnoteReference w:id="2"/>
      </w:r>
      <w:r w:rsidR="005A1C25">
        <w:t>, salvo en los asuntos de afluencia repentina de nacionales terceros</w:t>
      </w:r>
      <w:r w:rsidR="001C4889">
        <w:t xml:space="preserve">, en los que el Consejo adopta los acuerdos, previa consulta del Parlamento </w:t>
      </w:r>
      <w:r w:rsidR="001C4889" w:rsidRPr="001C4889">
        <w:t xml:space="preserve"> (artículo 78, apartado 3, del TFUE)</w:t>
      </w:r>
      <w:r w:rsidR="005A1C25">
        <w:t xml:space="preserve">. </w:t>
      </w:r>
      <w:r>
        <w:t xml:space="preserve"> </w:t>
      </w:r>
    </w:p>
    <w:p w:rsidR="000B5D76" w:rsidRDefault="000B5D76" w:rsidP="0011352C">
      <w:pPr>
        <w:spacing w:after="0" w:line="240" w:lineRule="auto"/>
        <w:jc w:val="both"/>
      </w:pPr>
    </w:p>
    <w:p w:rsidR="00663557" w:rsidRDefault="001C4889" w:rsidP="0011352C">
      <w:pPr>
        <w:spacing w:after="0" w:line="240" w:lineRule="auto"/>
        <w:jc w:val="both"/>
      </w:pPr>
      <w:r>
        <w:t>E</w:t>
      </w:r>
      <w:r w:rsidR="000B5D76">
        <w:t>l artículo 78 del TFUE establece que “la Unión desarrollará una política común en materia de asilo, protección subsidiaria y protección temporal destinada a ofrecer un estatuto apropiado a todo nacional de un tercer país que necesite protección internacional y a garantizar el respeto del principio de no devolución</w:t>
      </w:r>
      <w:r w:rsidR="00FC2082">
        <w:t>”. El mismo artículo prevé un “un estatuto uniforme de protección subsidiaria para los nacionales de terceros países que, sin obtener el asilo europeo, necesiten protección internacional”, algo que todavía no se ha aprobado.</w:t>
      </w:r>
    </w:p>
    <w:p w:rsidR="000B5D76" w:rsidRDefault="000B5D76" w:rsidP="0011352C">
      <w:pPr>
        <w:spacing w:after="0" w:line="240" w:lineRule="auto"/>
        <w:jc w:val="both"/>
      </w:pPr>
    </w:p>
    <w:p w:rsidR="00663557" w:rsidRDefault="00663557" w:rsidP="0011352C">
      <w:pPr>
        <w:spacing w:after="0" w:line="240" w:lineRule="auto"/>
        <w:jc w:val="both"/>
      </w:pPr>
      <w:r>
        <w:t xml:space="preserve">Tal como indica el artículo 79 del TFUE “La Unión desarrollará una política común de inmigración destinada a garantizar, en todo momento, una gestión eficaz de los flujos migratorios, un trato equitativo de los nacionales de terceros países que residan legalmente en los Estados miembros, así como una prevención de la inmigración ilegal y de la trata de seres humanos y una lucha reforzada contra ambas”. </w:t>
      </w:r>
      <w:r w:rsidR="00BA7E32">
        <w:t>A su vez l</w:t>
      </w:r>
      <w:r w:rsidR="000359F0">
        <w:t xml:space="preserve">a Unión “podrá celebrar con terceros países acuerdos para la readmisión, en sus países de origen o de procedencia, de nacionales de terceros países que no cumplan o que hayan dejado de cumplir las condiciones de entrada, presencia o residencia en el territorio de uno de los Estados miembros”. </w:t>
      </w:r>
    </w:p>
    <w:p w:rsidR="00FC2082" w:rsidRDefault="00FC2082" w:rsidP="0011352C">
      <w:pPr>
        <w:spacing w:after="0" w:line="240" w:lineRule="auto"/>
        <w:jc w:val="both"/>
      </w:pPr>
    </w:p>
    <w:p w:rsidR="00330E51" w:rsidRDefault="00FC2082" w:rsidP="0011352C">
      <w:pPr>
        <w:spacing w:after="0" w:line="240" w:lineRule="auto"/>
        <w:jc w:val="both"/>
      </w:pPr>
      <w:r>
        <w:t xml:space="preserve">Antes de Lisboa, la UE ya había adoptado la </w:t>
      </w:r>
      <w:r w:rsidRPr="00FA42C6">
        <w:rPr>
          <w:b/>
        </w:rPr>
        <w:t>Directiva sobre el retorno (2008/115/CE),</w:t>
      </w:r>
      <w:r>
        <w:t xml:space="preserve"> que establece las normas y procedimientos comunes de la UE para el retorno de los nacionales de terceros países en situación irregular</w:t>
      </w:r>
      <w:r w:rsidR="00330E51">
        <w:t xml:space="preserve">. En resumen, la Directiva retorno indique que </w:t>
      </w:r>
      <w:r w:rsidR="007801CE">
        <w:t>l</w:t>
      </w:r>
      <w:r w:rsidR="00330E51">
        <w:t xml:space="preserve">os </w:t>
      </w:r>
      <w:r w:rsidR="007801CE">
        <w:t>“</w:t>
      </w:r>
      <w:r w:rsidR="00330E51">
        <w:t xml:space="preserve">países de la UE deben dictar una </w:t>
      </w:r>
      <w:r w:rsidR="00330E51" w:rsidRPr="007801CE">
        <w:rPr>
          <w:b/>
        </w:rPr>
        <w:t>decisión de retorno</w:t>
      </w:r>
      <w:r w:rsidR="00330E51">
        <w:t xml:space="preserve"> contra cualquier nacional de fuera de la UE que </w:t>
      </w:r>
      <w:r w:rsidR="00330E51">
        <w:lastRenderedPageBreak/>
        <w:t>se encuentre en situación irregular en su territorio. Si un nacional de fuera de la UE posee un permiso de residencia válido u otra autorización equivalente expedido por otro país de la UE, se le exigirá que vuelva de inmediato al territorio de dicho país. Si, en virtud de un acuerdo bilateral, otro país de la UE se hace cargo de un nacional de fuera de la UE en situación irregular, dicho país será el responsable de dictar la decisión de retorno. Un país de la UE puede decidir conceder a un nacional de fuera de la UE que se encuentre en situación irregular en su territorio un permiso de residencia autónomo u otra autorización similar por razones humanitarias o de otro tipo. Si un nacional de fuera de la UE tiene pendiente un procedimiento de renovación del permiso de residencia, el país de la UE no puede dictar una decisión de retorno hasta que finalice dicho procedimiento.</w:t>
      </w:r>
    </w:p>
    <w:p w:rsidR="007801CE" w:rsidRDefault="007801CE" w:rsidP="0011352C">
      <w:pPr>
        <w:spacing w:after="0" w:line="240" w:lineRule="auto"/>
        <w:jc w:val="both"/>
      </w:pPr>
    </w:p>
    <w:p w:rsidR="00330E51" w:rsidRDefault="00330E51" w:rsidP="0011352C">
      <w:pPr>
        <w:spacing w:after="0" w:line="240" w:lineRule="auto"/>
        <w:jc w:val="both"/>
      </w:pPr>
      <w:r>
        <w:t xml:space="preserve">La decisión de retorno debe establecer un plazo adecuado, cuya duración oscilará entre siete y treinta días, para la </w:t>
      </w:r>
      <w:r w:rsidRPr="007801CE">
        <w:rPr>
          <w:b/>
        </w:rPr>
        <w:t>salida voluntaria</w:t>
      </w:r>
      <w:r>
        <w:t xml:space="preserve"> del nacional de fuera de la UE en situación irregular. Los países de la UE pueden disponer que este plazo se conceda únicamente a petición del nacional en cuestión. El plazo de salida voluntaria puede prorrogarse en circunstancias especiales. Asimismo, los países de la UE pueden imponer determinadas obligaciones al nacional de fuera de la UE durante este plazo para evitar el riesgo de fuga. Si existe riesgo de fuga, si el nacional de fuera de la UE ha presentado una solicitud de permanencia fraudulenta o si la persona de que se trate representa un riesgo para el orden público o la seguridad nacional, el país de la UE podrá conceder un periodo inferior a siete días o no conceder ningún periodo.</w:t>
      </w:r>
    </w:p>
    <w:p w:rsidR="007801CE" w:rsidRDefault="007801CE" w:rsidP="0011352C">
      <w:pPr>
        <w:spacing w:after="0" w:line="240" w:lineRule="auto"/>
        <w:jc w:val="both"/>
      </w:pPr>
    </w:p>
    <w:p w:rsidR="000359F0" w:rsidRDefault="00330E51" w:rsidP="0011352C">
      <w:pPr>
        <w:spacing w:after="0" w:line="240" w:lineRule="auto"/>
        <w:jc w:val="both"/>
      </w:pPr>
      <w:r>
        <w:t xml:space="preserve">Si no se ha concedido ningún plazo para la salida voluntaria o si el nacional de fuera de la UE no ha cumplido con la obligación de retorno dentro del plazo concedido, el país de la UE deberá tomar todas las medidas necesarias para llevar a cabo la </w:t>
      </w:r>
      <w:r w:rsidRPr="007801CE">
        <w:rPr>
          <w:b/>
        </w:rPr>
        <w:t>expulsión</w:t>
      </w:r>
      <w:r>
        <w:t xml:space="preserve">. Los países de la UE podrán utilizar, como último recurso, medidas coercitivas para llevar a cabo la expulsión de un nacional de fuera de la UE; dichas medidas deberán ser proporcionadas y la fuerza ejercida no irá más allá de lo razonable. La expulsión de un nacional de fuera de la UE debe ser </w:t>
      </w:r>
      <w:r w:rsidRPr="007801CE">
        <w:rPr>
          <w:b/>
        </w:rPr>
        <w:t>aplazada</w:t>
      </w:r>
      <w:r>
        <w:t xml:space="preserve"> si pone en peligro su vida (principio de no devolución) o si a la decisión de retorno se ha suspendido temporalmente. Los países de la </w:t>
      </w:r>
      <w:proofErr w:type="spellStart"/>
      <w:r>
        <w:t>Ue</w:t>
      </w:r>
      <w:proofErr w:type="spellEnd"/>
      <w:r>
        <w:t xml:space="preserve"> también pueden aplazar una expulsión en circunstancias especiales</w:t>
      </w:r>
      <w:r w:rsidR="007801CE">
        <w:t>”</w:t>
      </w:r>
      <w:r w:rsidR="007801CE">
        <w:rPr>
          <w:rStyle w:val="Refdenotaalpie"/>
        </w:rPr>
        <w:footnoteReference w:id="3"/>
      </w:r>
      <w:r w:rsidR="00FC2082">
        <w:t>.</w:t>
      </w:r>
      <w:r w:rsidR="00FC2082">
        <w:cr/>
      </w:r>
    </w:p>
    <w:p w:rsidR="000359F0" w:rsidRDefault="000359F0" w:rsidP="0011352C">
      <w:pPr>
        <w:spacing w:after="0" w:line="240" w:lineRule="auto"/>
        <w:jc w:val="both"/>
        <w:rPr>
          <w:b/>
        </w:rPr>
      </w:pPr>
      <w:r>
        <w:t>No obstante lo anterior, cabe señalar que las medidas provisionales en caso de afluencia repentina de nacionales de terceros países en un Estado miembro las adoptará únicamente el Consejo, previa consulta al Parlamento</w:t>
      </w:r>
      <w:r>
        <w:rPr>
          <w:rStyle w:val="Refdenotaalpie"/>
        </w:rPr>
        <w:footnoteReference w:id="4"/>
      </w:r>
      <w:r>
        <w:t>.</w:t>
      </w:r>
      <w:r w:rsidR="00637B20">
        <w:t xml:space="preserve"> </w:t>
      </w:r>
      <w:r w:rsidR="00B33FFD">
        <w:t xml:space="preserve">No solo eso, </w:t>
      </w:r>
      <w:r w:rsidR="00637B20">
        <w:t xml:space="preserve">el articulado expresamente que el Consejo “podrá” adoptar, sin estipular ningún tipo de obligatoriedad. Además, el art. 79 deja claro que la posible política europea común de inmigración “no afectará al derecho de los Estados miembros a establecer volúmenes de admisión en su territorio de nacionales de terceros países procedentes de terceros países con el fin de buscar trabajo por cuenta ajena o por cuenta propia”. </w:t>
      </w:r>
      <w:r w:rsidR="00637B20" w:rsidRPr="0016233B">
        <w:rPr>
          <w:b/>
        </w:rPr>
        <w:t>En otras palabras, los “volúmenes de admisión” son, en cualquier caso, competencia exc</w:t>
      </w:r>
      <w:r w:rsidR="00CC3760" w:rsidRPr="0016233B">
        <w:rPr>
          <w:b/>
        </w:rPr>
        <w:t>l</w:t>
      </w:r>
      <w:r w:rsidR="00637B20" w:rsidRPr="0016233B">
        <w:rPr>
          <w:b/>
        </w:rPr>
        <w:t>usiva de los Estados Miembros</w:t>
      </w:r>
      <w:r w:rsidR="00B33FFD" w:rsidRPr="00B33FFD">
        <w:t xml:space="preserve">, </w:t>
      </w:r>
      <w:r w:rsidR="00B33FFD" w:rsidRPr="001C5D6F">
        <w:rPr>
          <w:b/>
        </w:rPr>
        <w:t>no de la UE</w:t>
      </w:r>
      <w:r w:rsidR="00637B20" w:rsidRPr="00B33FFD">
        <w:t>.</w:t>
      </w:r>
      <w:r w:rsidR="00637B20" w:rsidRPr="0016233B">
        <w:rPr>
          <w:b/>
        </w:rPr>
        <w:t xml:space="preserve"> </w:t>
      </w:r>
    </w:p>
    <w:p w:rsidR="001D4CFD" w:rsidRDefault="001D4CFD" w:rsidP="0011352C">
      <w:pPr>
        <w:spacing w:after="0" w:line="240" w:lineRule="auto"/>
        <w:jc w:val="both"/>
        <w:rPr>
          <w:b/>
        </w:rPr>
      </w:pPr>
    </w:p>
    <w:p w:rsidR="001D4CFD" w:rsidRDefault="001D4CFD" w:rsidP="000919AA">
      <w:pPr>
        <w:pStyle w:val="Ttulo2"/>
      </w:pPr>
      <w:bookmarkStart w:id="3" w:name="_Toc460219581"/>
      <w:r>
        <w:t>Convenio Europeo de Derechos Humanos (Consejo de Europa)</w:t>
      </w:r>
      <w:bookmarkEnd w:id="3"/>
    </w:p>
    <w:p w:rsidR="001D4CFD" w:rsidRPr="001D4CFD" w:rsidRDefault="001D4CFD" w:rsidP="0011352C">
      <w:pPr>
        <w:spacing w:after="0" w:line="240" w:lineRule="auto"/>
        <w:jc w:val="both"/>
      </w:pPr>
    </w:p>
    <w:p w:rsidR="001D4CFD" w:rsidRPr="001D4CFD" w:rsidRDefault="001D4CFD" w:rsidP="0011352C">
      <w:pPr>
        <w:spacing w:after="0" w:line="240" w:lineRule="auto"/>
        <w:jc w:val="both"/>
      </w:pPr>
      <w:r w:rsidRPr="001D4CFD">
        <w:t xml:space="preserve">El Convenio no recoge ninguna mención expresa al derecho de asilo, ni a la situación de los inmigrantes. No obstante, el artículo 4 del Protocolo 4 establece que “Quedan prohibidas las expulsiones colectivas de extranjeros”. </w:t>
      </w:r>
      <w:r>
        <w:t xml:space="preserve">Además, el Protocolo 7 establece unas garantías de </w:t>
      </w:r>
      <w:r>
        <w:lastRenderedPageBreak/>
        <w:t>procedimiento en caso de expulsión de extranjeros</w:t>
      </w:r>
      <w:r w:rsidR="000128F7">
        <w:t>, aunque sólo para los que “residan legalmente”</w:t>
      </w:r>
      <w:r w:rsidR="000128F7">
        <w:rPr>
          <w:rStyle w:val="Refdenotaalpie"/>
        </w:rPr>
        <w:footnoteReference w:id="5"/>
      </w:r>
      <w:r>
        <w:t xml:space="preserve">. </w:t>
      </w:r>
    </w:p>
    <w:p w:rsidR="00B33FFD" w:rsidRDefault="00B33FFD" w:rsidP="0011352C">
      <w:pPr>
        <w:spacing w:after="0" w:line="240" w:lineRule="auto"/>
        <w:jc w:val="both"/>
      </w:pPr>
    </w:p>
    <w:p w:rsidR="00376A6C" w:rsidRPr="00376A6C" w:rsidRDefault="00376A6C" w:rsidP="000919AA">
      <w:pPr>
        <w:pStyle w:val="Ttulo2"/>
      </w:pPr>
      <w:bookmarkStart w:id="4" w:name="_Toc460219582"/>
      <w:r w:rsidRPr="00376A6C">
        <w:t>Acuerdo UE-Turquía de 18 marzo 2016</w:t>
      </w:r>
      <w:bookmarkEnd w:id="4"/>
    </w:p>
    <w:p w:rsidR="00376A6C" w:rsidRDefault="00376A6C" w:rsidP="0011352C">
      <w:pPr>
        <w:spacing w:after="0" w:line="240" w:lineRule="auto"/>
      </w:pPr>
    </w:p>
    <w:p w:rsidR="001535E7" w:rsidRDefault="00F5686A" w:rsidP="0011352C">
      <w:pPr>
        <w:spacing w:after="0" w:line="240" w:lineRule="auto"/>
        <w:jc w:val="both"/>
      </w:pPr>
      <w:r>
        <w:t>Ante la llamada crisis de refugiados producida tras diversos conflictos armados, especialmente el de Siria, la UE firmó un acuerdo con Turqu</w:t>
      </w:r>
      <w:r w:rsidR="00407FED">
        <w:t>ía el pasado 18 de marzo de 2016. El primer punto no puede ser más tajante “</w:t>
      </w:r>
      <w:r w:rsidR="00407FED" w:rsidRPr="00407FED">
        <w:t xml:space="preserve">Todos los nuevos migrantes irregulares que pasen de Turquía a las islas griegas a partir del 20 de marzo de </w:t>
      </w:r>
      <w:r w:rsidR="00376A6C">
        <w:t>2016 serán retornados a Turquía”, Además, “</w:t>
      </w:r>
      <w:r w:rsidR="0011352C">
        <w:t>p</w:t>
      </w:r>
      <w:r w:rsidR="00376A6C" w:rsidRPr="00376A6C">
        <w:t>or cada sirio retornado a Turquía desde las islas griegas, se reasentará a otro sirio procedente de</w:t>
      </w:r>
      <w:r w:rsidR="00376A6C">
        <w:t xml:space="preserve"> </w:t>
      </w:r>
      <w:r w:rsidR="00376A6C" w:rsidRPr="00376A6C">
        <w:t>Turquía en la UE, teniendo en cuenta los criterios de vulnerabilidad de las Naciones Unidas</w:t>
      </w:r>
      <w:r w:rsidR="00376A6C">
        <w:t xml:space="preserve">”. </w:t>
      </w:r>
      <w:r w:rsidR="0011352C">
        <w:t>Turquía también se compromete a tomar “t</w:t>
      </w:r>
      <w:r w:rsidR="0011352C" w:rsidRPr="0011352C">
        <w:t>odas las medidas necesarias para evitar que se abran nuevas rutas marítimas o terrestres de migración ilegal desde Turquía a la UE y cooperará a tal efecto con los estados vecinos, así como con la UE</w:t>
      </w:r>
      <w:r w:rsidR="0011352C">
        <w:t>”, En compensación la UE “</w:t>
      </w:r>
      <w:r w:rsidR="0011352C" w:rsidRPr="0011352C">
        <w:t>acelerará más el desembolso de los 3000 millones de euros inicialmente asignados en virtud del Mecanismo para los refugiados en Turquía y garantizará la financiación de más proyectos destinados a personas bajo protección temporal</w:t>
      </w:r>
      <w:r w:rsidR="0011352C">
        <w:t>”</w:t>
      </w:r>
      <w:r w:rsidR="0011352C">
        <w:rPr>
          <w:rStyle w:val="Refdenotaalpie"/>
        </w:rPr>
        <w:footnoteReference w:id="6"/>
      </w:r>
      <w:r w:rsidR="0011352C">
        <w:t xml:space="preserve">. </w:t>
      </w:r>
    </w:p>
    <w:p w:rsidR="002D3997" w:rsidRDefault="002D3997" w:rsidP="0011352C">
      <w:pPr>
        <w:spacing w:after="0" w:line="240" w:lineRule="auto"/>
      </w:pPr>
    </w:p>
    <w:p w:rsidR="00CC652E" w:rsidRDefault="0018553A" w:rsidP="009817B6">
      <w:pPr>
        <w:spacing w:after="0" w:line="240" w:lineRule="auto"/>
        <w:jc w:val="both"/>
      </w:pPr>
      <w:r>
        <w:t xml:space="preserve">Se ha escrito mucho </w:t>
      </w:r>
      <w:r w:rsidRPr="00CC652E">
        <w:rPr>
          <w:b/>
        </w:rPr>
        <w:t>cuestionando la legalidad de dicho acuerdo</w:t>
      </w:r>
      <w:r>
        <w:t xml:space="preserve">. </w:t>
      </w:r>
      <w:r w:rsidR="009817B6">
        <w:t>Por un lado, tras el mencionado acuerdo de retorno, el Acuerdo con Turquía establece que todo ello se “</w:t>
      </w:r>
      <w:r w:rsidR="009817B6" w:rsidRPr="009817B6">
        <w:t xml:space="preserve">aplicará en plena conformidad con el Derecho internacional y de la UE, </w:t>
      </w:r>
      <w:r w:rsidR="009817B6" w:rsidRPr="009817B6">
        <w:rPr>
          <w:b/>
        </w:rPr>
        <w:t>descartándose así todo tipo de expulsión colectiva</w:t>
      </w:r>
      <w:r w:rsidR="009817B6" w:rsidRPr="009817B6">
        <w:t>. Todos los migrantes estarán protegidos de acuerdo con las normas internacionales pertinentes y dentro del respeto del principio de no devolución. Se tratará de una medida temporal y extraordinaria que es necesaria para poner término al sufrimiento humano y restablecer el orden público</w:t>
      </w:r>
      <w:r w:rsidR="00EC561B">
        <w:t>”. No obstante, esto parece contradictorio con el “todos los nuevos inmigrantes serán devueltos”. En opinión de diversos juristas, la única vía posible es vía reclamaciones ante los tribunales griegos, quienes serían los encargados de trasladar una cuestión prejudicial el Tribunal de Justicia de la UE</w:t>
      </w:r>
      <w:r w:rsidR="00CC652E">
        <w:rPr>
          <w:rStyle w:val="Refdenotaalpie"/>
        </w:rPr>
        <w:footnoteReference w:id="7"/>
      </w:r>
      <w:r w:rsidR="00EC561B">
        <w:t xml:space="preserve">. </w:t>
      </w:r>
    </w:p>
    <w:p w:rsidR="00CC652E" w:rsidRPr="00CC652E" w:rsidRDefault="00CC652E" w:rsidP="000919AA">
      <w:pPr>
        <w:pStyle w:val="Ttulo1"/>
      </w:pPr>
      <w:bookmarkStart w:id="5" w:name="_Toc460219583"/>
      <w:r w:rsidRPr="00CC652E">
        <w:t>Comité de las Regiones – buenas prácticas regionales</w:t>
      </w:r>
      <w:bookmarkEnd w:id="5"/>
    </w:p>
    <w:p w:rsidR="00CC652E" w:rsidRDefault="00CC652E" w:rsidP="009817B6">
      <w:pPr>
        <w:spacing w:after="0" w:line="240" w:lineRule="auto"/>
        <w:jc w:val="both"/>
      </w:pPr>
    </w:p>
    <w:p w:rsidR="00CC652E" w:rsidRDefault="00124AF1" w:rsidP="009817B6">
      <w:pPr>
        <w:spacing w:after="0" w:line="240" w:lineRule="auto"/>
        <w:jc w:val="both"/>
      </w:pPr>
      <w:r>
        <w:t>E</w:t>
      </w:r>
      <w:r w:rsidR="001C5D6F">
        <w:t>n</w:t>
      </w:r>
      <w:r>
        <w:t xml:space="preserve"> diciembre del 2015 al Comité de las Regiones (</w:t>
      </w:r>
      <w:proofErr w:type="spellStart"/>
      <w:r>
        <w:t>CdR</w:t>
      </w:r>
      <w:proofErr w:type="spellEnd"/>
      <w:r>
        <w:t>) aprobó una opinión sobre la Agenda Europea de Migración</w:t>
      </w:r>
      <w:r w:rsidR="000C21FA">
        <w:t xml:space="preserve"> adoptada por la Comisión Europea</w:t>
      </w:r>
      <w:r w:rsidR="000C21FA">
        <w:rPr>
          <w:rStyle w:val="Refdenotaalpie"/>
        </w:rPr>
        <w:footnoteReference w:id="8"/>
      </w:r>
      <w:r>
        <w:t>.</w:t>
      </w:r>
      <w:r w:rsidR="000C21FA">
        <w:t xml:space="preserve"> El Comité reiteraba “</w:t>
      </w:r>
      <w:r w:rsidR="000C21FA" w:rsidRPr="000C21FA">
        <w:t>su convicción de que el enfoque de la UE en materia de migración debe basarse en la solidaridad, la responsabilidad compartida, la sostenibilidad a largo plazo y el respeto de los derechos humanos</w:t>
      </w:r>
      <w:r w:rsidR="000C21FA">
        <w:t>”</w:t>
      </w:r>
      <w:r>
        <w:t xml:space="preserve"> </w:t>
      </w:r>
      <w:r w:rsidR="000C21FA">
        <w:t xml:space="preserve">y además </w:t>
      </w:r>
      <w:r w:rsidR="000C21FA" w:rsidRPr="000C21FA">
        <w:t>subraya</w:t>
      </w:r>
      <w:r w:rsidR="000C21FA">
        <w:t xml:space="preserve">ba </w:t>
      </w:r>
      <w:r w:rsidR="000C21FA" w:rsidRPr="000C21FA">
        <w:t xml:space="preserve">que </w:t>
      </w:r>
      <w:r w:rsidR="000C21FA">
        <w:t>“</w:t>
      </w:r>
      <w:r w:rsidR="000C21FA" w:rsidRPr="000C21FA">
        <w:t>si bien es esencial reforzar los controles fronterizos y las medidas de lucha contra la migración irregular, ello no puede prevalecer en ningún caso sobre las obligaciones internacionales de salvar vidas y respetar los derechos humanos, ni tampoco sobre el derecho a solicitar asilo en la UE</w:t>
      </w:r>
      <w:r w:rsidR="000C21FA">
        <w:t>”. Por ello, entre otros asuntos, “</w:t>
      </w:r>
      <w:r w:rsidR="000C21FA" w:rsidRPr="000C21FA">
        <w:t xml:space="preserve">insiste en que la política migratoria europea solo tendrá éxito si se consigue una clara comprensión y se contrae un compromiso a largo plazo para lograr políticas de integración eficaces, razón por la cual </w:t>
      </w:r>
      <w:r w:rsidR="000C21FA" w:rsidRPr="000C21FA">
        <w:lastRenderedPageBreak/>
        <w:t>solicita a la Comisión Europea que organice un diálogo anual estructurado sobre integración junto con el Comité de las Regiones Europeo para elaborar, revisar y actualizar orientaciones destinadas a los entes locales y regionales de todo el continente con el fin de garantizar una integración fluida</w:t>
      </w:r>
      <w:r w:rsidR="000C21FA">
        <w:t>”.</w:t>
      </w:r>
    </w:p>
    <w:p w:rsidR="000C21FA" w:rsidRDefault="000C21FA" w:rsidP="009817B6">
      <w:pPr>
        <w:spacing w:after="0" w:line="240" w:lineRule="auto"/>
        <w:jc w:val="both"/>
      </w:pPr>
    </w:p>
    <w:p w:rsidR="001055F6" w:rsidRDefault="008B6763" w:rsidP="009817B6">
      <w:pPr>
        <w:spacing w:after="0" w:line="240" w:lineRule="auto"/>
        <w:jc w:val="both"/>
      </w:pPr>
      <w:r>
        <w:t xml:space="preserve">Además, el </w:t>
      </w:r>
      <w:proofErr w:type="spellStart"/>
      <w:r>
        <w:t>CdR</w:t>
      </w:r>
      <w:proofErr w:type="spellEnd"/>
      <w:r>
        <w:t xml:space="preserve"> ha puesto a </w:t>
      </w:r>
      <w:r w:rsidR="00290033">
        <w:t xml:space="preserve">puesto en marcha una iniciativa para que </w:t>
      </w:r>
      <w:r w:rsidR="00854358">
        <w:t>las regiones</w:t>
      </w:r>
      <w:r w:rsidR="00290033">
        <w:t xml:space="preserve"> intercambien puntos de vista sobre la Agenda Europea de Migración. Puede </w:t>
      </w:r>
      <w:r w:rsidR="00854358">
        <w:t>consultarse</w:t>
      </w:r>
      <w:r w:rsidR="00290033">
        <w:t xml:space="preserve"> en el link del </w:t>
      </w:r>
      <w:proofErr w:type="spellStart"/>
      <w:r w:rsidR="00290033">
        <w:t>CdR</w:t>
      </w:r>
      <w:proofErr w:type="spellEnd"/>
      <w:r w:rsidR="00290033">
        <w:t xml:space="preserve"> (</w:t>
      </w:r>
      <w:hyperlink r:id="rId9" w:history="1">
        <w:r w:rsidR="00290033" w:rsidRPr="00A84A51">
          <w:rPr>
            <w:rStyle w:val="Hipervnculo"/>
          </w:rPr>
          <w:t>http://cor.europa.eu/es/news/Pages/migration-europe-regions.aspx</w:t>
        </w:r>
      </w:hyperlink>
      <w:r w:rsidR="00290033">
        <w:t xml:space="preserve">). </w:t>
      </w:r>
    </w:p>
    <w:p w:rsidR="001C5D6F" w:rsidRDefault="001C5D6F" w:rsidP="009817B6">
      <w:pPr>
        <w:spacing w:after="0" w:line="240" w:lineRule="auto"/>
        <w:jc w:val="both"/>
      </w:pPr>
    </w:p>
    <w:p w:rsidR="00860820" w:rsidRDefault="001C5D6F" w:rsidP="009817B6">
      <w:pPr>
        <w:spacing w:after="0" w:line="240" w:lineRule="auto"/>
        <w:jc w:val="both"/>
      </w:pPr>
      <w:r>
        <w:t xml:space="preserve">Hay que recordar que el </w:t>
      </w:r>
      <w:proofErr w:type="spellStart"/>
      <w:r>
        <w:t>CdR</w:t>
      </w:r>
      <w:proofErr w:type="spellEnd"/>
      <w:r>
        <w:t xml:space="preserve"> es </w:t>
      </w:r>
      <w:r w:rsidRPr="001C5D6F">
        <w:t>el único organismo de la UE donde Navarra participa directamente</w:t>
      </w:r>
      <w:r>
        <w:t>.</w:t>
      </w:r>
    </w:p>
    <w:p w:rsidR="00860820" w:rsidRPr="00860820" w:rsidRDefault="00860820" w:rsidP="000919AA">
      <w:pPr>
        <w:pStyle w:val="Ttulo1"/>
      </w:pPr>
      <w:bookmarkStart w:id="6" w:name="_Toc460219584"/>
      <w:r w:rsidRPr="00860820">
        <w:t>Política de asilo, nueva propuesta de la Comisión</w:t>
      </w:r>
      <w:bookmarkEnd w:id="6"/>
      <w:r w:rsidRPr="00860820">
        <w:t xml:space="preserve"> </w:t>
      </w:r>
    </w:p>
    <w:p w:rsidR="00860820" w:rsidRDefault="00860820" w:rsidP="009817B6">
      <w:pPr>
        <w:spacing w:after="0" w:line="240" w:lineRule="auto"/>
        <w:jc w:val="both"/>
      </w:pPr>
    </w:p>
    <w:p w:rsidR="00860820" w:rsidRDefault="00860820" w:rsidP="009817B6">
      <w:pPr>
        <w:spacing w:after="0" w:line="240" w:lineRule="auto"/>
        <w:jc w:val="both"/>
      </w:pPr>
      <w:r>
        <w:t>La Comisión presentó el pasado 13 de julio una p</w:t>
      </w:r>
      <w:r w:rsidRPr="00860820">
        <w:t xml:space="preserve">ropuesta </w:t>
      </w:r>
      <w:r>
        <w:t xml:space="preserve">o paquete legislativo de reforma de la </w:t>
      </w:r>
      <w:proofErr w:type="spellStart"/>
      <w:r>
        <w:t>acutla</w:t>
      </w:r>
      <w:proofErr w:type="spellEnd"/>
      <w:r>
        <w:t xml:space="preserve"> política de asilo, entre ellas, un nuevo </w:t>
      </w:r>
      <w:r w:rsidRPr="00860820">
        <w:t xml:space="preserve">Reglamento por el que se establece un procedimiento común en la Unión y por la que se deroga la </w:t>
      </w:r>
      <w:r>
        <w:t xml:space="preserve">actual </w:t>
      </w:r>
      <w:r w:rsidRPr="00860820">
        <w:t>Directiva 2013/32/UE</w:t>
      </w:r>
      <w:r>
        <w:t>, una p</w:t>
      </w:r>
      <w:r w:rsidRPr="00860820">
        <w:t>ropuesta de Directiva por la que se aprueban normas para la acogida de los solicitantes de prot</w:t>
      </w:r>
      <w:r>
        <w:t>ección internacional, y en tercer lugar, una p</w:t>
      </w:r>
      <w:r w:rsidRPr="00860820">
        <w:t>ropuesta de Reglamento por la que se establecen normas relativas a los requisitos para el reconocimiento de nacionales de terceros países o apátridas como beneficiarios de protección internacional, a un estatuto uniforme para los refugiados o para las personas con derecho a protección subsidiaria y al contenido de la protección concedida</w:t>
      </w:r>
      <w:r>
        <w:t xml:space="preserve">. </w:t>
      </w:r>
    </w:p>
    <w:p w:rsidR="00860820" w:rsidRDefault="00860820" w:rsidP="009817B6">
      <w:pPr>
        <w:spacing w:after="0" w:line="240" w:lineRule="auto"/>
        <w:jc w:val="both"/>
      </w:pPr>
    </w:p>
    <w:p w:rsidR="00860820" w:rsidRDefault="00860820" w:rsidP="009817B6">
      <w:pPr>
        <w:spacing w:after="0" w:line="240" w:lineRule="auto"/>
        <w:jc w:val="both"/>
      </w:pPr>
      <w:r>
        <w:t>De acuerdo a la Comisión, las nuevas propuestas, que tendrán que ser aprobadas por el Consejo y el Parlamento, descansan en sobre tres ejes fundamentales:</w:t>
      </w:r>
    </w:p>
    <w:p w:rsidR="00860820" w:rsidRDefault="00860820" w:rsidP="009817B6">
      <w:pPr>
        <w:spacing w:after="0" w:line="240" w:lineRule="auto"/>
        <w:jc w:val="both"/>
      </w:pPr>
    </w:p>
    <w:p w:rsidR="00860820" w:rsidRDefault="00860820" w:rsidP="00860820">
      <w:pPr>
        <w:pStyle w:val="Prrafodelista"/>
        <w:numPr>
          <w:ilvl w:val="0"/>
          <w:numId w:val="4"/>
        </w:numPr>
        <w:spacing w:after="0" w:line="240" w:lineRule="auto"/>
        <w:jc w:val="both"/>
      </w:pPr>
      <w:r w:rsidRPr="00860820">
        <w:t>Un procedimiento común de la UE justo y eficiente</w:t>
      </w:r>
    </w:p>
    <w:p w:rsidR="00860820" w:rsidRDefault="00860820" w:rsidP="00860820">
      <w:pPr>
        <w:pStyle w:val="Prrafodelista"/>
        <w:numPr>
          <w:ilvl w:val="0"/>
          <w:numId w:val="4"/>
        </w:numPr>
        <w:spacing w:after="0" w:line="240" w:lineRule="auto"/>
        <w:jc w:val="both"/>
      </w:pPr>
      <w:r w:rsidRPr="00860820">
        <w:t>Normas y derechos de protección armonizados</w:t>
      </w:r>
    </w:p>
    <w:p w:rsidR="00860820" w:rsidRDefault="00860820" w:rsidP="00860820">
      <w:pPr>
        <w:pStyle w:val="Prrafodelista"/>
        <w:numPr>
          <w:ilvl w:val="0"/>
          <w:numId w:val="4"/>
        </w:numPr>
        <w:spacing w:after="0" w:line="240" w:lineRule="auto"/>
        <w:jc w:val="both"/>
      </w:pPr>
      <w:r w:rsidRPr="00860820">
        <w:t>Condiciones de acogida dignas y armonizadas en toda la UE</w:t>
      </w:r>
    </w:p>
    <w:p w:rsidR="00860820" w:rsidRDefault="00860820" w:rsidP="009817B6">
      <w:pPr>
        <w:spacing w:after="0" w:line="240" w:lineRule="auto"/>
        <w:jc w:val="both"/>
      </w:pPr>
    </w:p>
    <w:p w:rsidR="00860820" w:rsidRDefault="00860820" w:rsidP="009817B6">
      <w:pPr>
        <w:spacing w:after="0" w:line="240" w:lineRule="auto"/>
        <w:jc w:val="both"/>
      </w:pPr>
      <w:r>
        <w:t>En palabras de</w:t>
      </w:r>
      <w:r w:rsidRPr="00860820">
        <w:t xml:space="preserve"> comisario europeo de Migración, Asuntos de Interior y Ciudadanía, </w:t>
      </w:r>
      <w:proofErr w:type="spellStart"/>
      <w:r w:rsidRPr="00860820">
        <w:t>Dimitris</w:t>
      </w:r>
      <w:proofErr w:type="spellEnd"/>
      <w:r w:rsidRPr="00860820">
        <w:t xml:space="preserve"> </w:t>
      </w:r>
      <w:proofErr w:type="spellStart"/>
      <w:r w:rsidRPr="00860820">
        <w:t>Avramopoulos</w:t>
      </w:r>
      <w:proofErr w:type="spellEnd"/>
      <w:r w:rsidRPr="00860820">
        <w:t>, ha declarado: «Lo que hoy proponemos constituye la pieza final de una reforma exhaustiva del Sistema Europeo Común de Asilo. Los cambios van a crear un auténtico procedimiento común de asilo y garantizar que sus solicitantes sean tratados de una manera coherente y adecuada, independientemente del Estado miembro en el que presenten su solicitud. Al mismo tiempo se establecerán claramente los derechos y obligaciones de los solicitantes de asilo a fin de evitar los movimientos secundarios y el abuso de los procedimientos. Se trata de crear un sistema común rápido y eficiente sobre la base de normas armonizadas y de la confianza mutua entre los Estados miembros.</w:t>
      </w:r>
      <w:r>
        <w:rPr>
          <w:rStyle w:val="Refdenotaalpie"/>
        </w:rPr>
        <w:footnoteReference w:id="9"/>
      </w:r>
      <w:r w:rsidRPr="00860820">
        <w:t>»</w:t>
      </w:r>
      <w:r>
        <w:t xml:space="preserve"> No obstante, la propuesta ha recibido las críticas de algunas formaciones del Parlamento Europeo. </w:t>
      </w:r>
    </w:p>
    <w:p w:rsidR="002D3997" w:rsidRPr="001055F6" w:rsidRDefault="001055F6" w:rsidP="000919AA">
      <w:pPr>
        <w:pStyle w:val="Ttulo1"/>
      </w:pPr>
      <w:bookmarkStart w:id="7" w:name="_Toc460219585"/>
      <w:r w:rsidRPr="001055F6">
        <w:t>Fondo de Asilo Migración e Integración (FAMI)</w:t>
      </w:r>
      <w:bookmarkEnd w:id="7"/>
    </w:p>
    <w:p w:rsidR="001055F6" w:rsidRDefault="001055F6" w:rsidP="0011352C">
      <w:pPr>
        <w:spacing w:after="0" w:line="240" w:lineRule="auto"/>
      </w:pPr>
    </w:p>
    <w:p w:rsidR="001535E7" w:rsidRDefault="00854358" w:rsidP="00854358">
      <w:pPr>
        <w:spacing w:after="0" w:line="240" w:lineRule="auto"/>
        <w:jc w:val="both"/>
      </w:pPr>
      <w:r>
        <w:t xml:space="preserve">Tal y como indica el portal del Ministerio de Empleo y Seguridad Social, la UE creó el Fondo de Asilo Migración e Integración (FAMI) para el periodo 2014-2020 que cuenta con una asignación de 3.137,42 millones de euros, y supone una ayuda financiera a los Estados miembros que </w:t>
      </w:r>
      <w:r>
        <w:lastRenderedPageBreak/>
        <w:t>tiene el objetivo general de promover la eficacia de la gestión de los flujos migratorios, así como el fortalecimiento y desarrollo de una política común en materia de asilo y de inmigración. El FAMI se gestiona en su mayor parte (más del 85%) conjuntamente con los Estados Miembros a través de la aprobación de programas estratégicos plurianuales nacionales, que abarcan todo el periodo de financiación.</w:t>
      </w:r>
    </w:p>
    <w:p w:rsidR="00854358" w:rsidRDefault="00854358" w:rsidP="00854358">
      <w:pPr>
        <w:spacing w:after="0" w:line="240" w:lineRule="auto"/>
        <w:jc w:val="both"/>
      </w:pPr>
    </w:p>
    <w:p w:rsidR="00854358" w:rsidRDefault="00854358" w:rsidP="00854358">
      <w:pPr>
        <w:spacing w:after="0" w:line="240" w:lineRule="auto"/>
        <w:jc w:val="both"/>
      </w:pPr>
      <w:r>
        <w:t>El Fondo de Asilo Migración e Integración (FAMI) apoya aquellas actuaciones destinadas a lograr los siguientes objetivos específicos comunes:</w:t>
      </w:r>
    </w:p>
    <w:p w:rsidR="00854358" w:rsidRDefault="00854358" w:rsidP="00854358">
      <w:pPr>
        <w:spacing w:after="0" w:line="240" w:lineRule="auto"/>
        <w:jc w:val="both"/>
      </w:pPr>
    </w:p>
    <w:p w:rsidR="00854358" w:rsidRDefault="00854358" w:rsidP="00854358">
      <w:pPr>
        <w:pStyle w:val="Prrafodelista"/>
        <w:numPr>
          <w:ilvl w:val="0"/>
          <w:numId w:val="3"/>
        </w:numPr>
        <w:spacing w:after="0" w:line="240" w:lineRule="auto"/>
        <w:jc w:val="both"/>
      </w:pPr>
      <w:r>
        <w:t>Reforzar y desarrollar todos los aspectos del sistema europeo común de asilo, incluida su dimensión exterior;</w:t>
      </w:r>
    </w:p>
    <w:p w:rsidR="00854358" w:rsidRDefault="00854358" w:rsidP="00854358">
      <w:pPr>
        <w:pStyle w:val="Prrafodelista"/>
        <w:numPr>
          <w:ilvl w:val="0"/>
          <w:numId w:val="3"/>
        </w:numPr>
        <w:spacing w:after="0" w:line="240" w:lineRule="auto"/>
        <w:jc w:val="both"/>
      </w:pPr>
      <w:r>
        <w:t>Apoyar la migración legal hacia los Estados miembros de conformidad con sus necesidades económicas y sociales, tales como las necesidades de sus mercados de trabajo, salvaguardando a la vez la integridad de los sistemas de inmigración de los Estados miembros, y fomentar la integración efectiva de los nacionales de terceros países;</w:t>
      </w:r>
    </w:p>
    <w:p w:rsidR="00854358" w:rsidRDefault="00854358" w:rsidP="00854358">
      <w:pPr>
        <w:pStyle w:val="Prrafodelista"/>
        <w:numPr>
          <w:ilvl w:val="0"/>
          <w:numId w:val="3"/>
        </w:numPr>
        <w:spacing w:after="0" w:line="240" w:lineRule="auto"/>
        <w:jc w:val="both"/>
      </w:pPr>
      <w:r>
        <w:t>Desarrollar estrategias de retorno equitativas y eficaces en los Estados miembros que contribuyan a la lucha contra la inmigración ilegal, haciendo hincapié en la sostenibilidad del retorno y la readmisión efectiva en los países de origen y de tránsito;</w:t>
      </w:r>
    </w:p>
    <w:p w:rsidR="00854358" w:rsidRDefault="00854358" w:rsidP="00854358">
      <w:pPr>
        <w:pStyle w:val="Prrafodelista"/>
        <w:numPr>
          <w:ilvl w:val="0"/>
          <w:numId w:val="3"/>
        </w:numPr>
        <w:spacing w:after="0" w:line="240" w:lineRule="auto"/>
        <w:jc w:val="both"/>
      </w:pPr>
      <w:r>
        <w:t>Aumentar la solidaridad y el reparto de responsabilidades entre los Estados miembros, en particular hacia los más afectados por los flujos de migración y asilo, también mediante la cooperación práctica.</w:t>
      </w:r>
    </w:p>
    <w:p w:rsidR="001535E7" w:rsidRDefault="001535E7" w:rsidP="0011352C">
      <w:pPr>
        <w:spacing w:after="0" w:line="240" w:lineRule="auto"/>
        <w:jc w:val="both"/>
      </w:pPr>
    </w:p>
    <w:p w:rsidR="00854358" w:rsidRDefault="00854358" w:rsidP="0011352C">
      <w:pPr>
        <w:spacing w:after="0" w:line="240" w:lineRule="auto"/>
        <w:jc w:val="both"/>
      </w:pPr>
      <w:r>
        <w:t xml:space="preserve">La autoridad </w:t>
      </w:r>
      <w:r w:rsidR="00C82539">
        <w:t xml:space="preserve">responsable </w:t>
      </w:r>
      <w:r>
        <w:t xml:space="preserve">para su gestión en el Estado español </w:t>
      </w:r>
      <w:r w:rsidR="00C82539">
        <w:t xml:space="preserve">es la </w:t>
      </w:r>
      <w:r w:rsidRPr="00854358">
        <w:t>Dirección General de Migraciones</w:t>
      </w:r>
      <w:r w:rsidR="00C82539">
        <w:t xml:space="preserve"> de </w:t>
      </w:r>
      <w:r w:rsidR="00C82539" w:rsidRPr="00C82539">
        <w:t>la Secretaría General de Inmigración y Emigración (Ministerio de Empleo y Seguridad Social)</w:t>
      </w:r>
      <w:r w:rsidR="00C82539">
        <w:rPr>
          <w:rStyle w:val="Refdenotaalpie"/>
        </w:rPr>
        <w:footnoteReference w:id="10"/>
      </w:r>
      <w:r w:rsidR="00C82539">
        <w:t xml:space="preserve">. </w:t>
      </w:r>
    </w:p>
    <w:p w:rsidR="00860820" w:rsidRPr="000E06FA" w:rsidRDefault="00860820" w:rsidP="000919AA">
      <w:pPr>
        <w:pStyle w:val="Ttulo1"/>
      </w:pPr>
      <w:bookmarkStart w:id="8" w:name="_Toc460219586"/>
      <w:r w:rsidRPr="000E06FA">
        <w:t>¿Es “Europa” insolidaria o sólo algunos europeos?</w:t>
      </w:r>
      <w:bookmarkEnd w:id="8"/>
      <w:r w:rsidRPr="000E06FA">
        <w:t xml:space="preserve"> </w:t>
      </w:r>
    </w:p>
    <w:p w:rsidR="00860820" w:rsidRDefault="00860820" w:rsidP="00860820">
      <w:pPr>
        <w:spacing w:after="0" w:line="240" w:lineRule="auto"/>
        <w:jc w:val="both"/>
      </w:pPr>
    </w:p>
    <w:p w:rsidR="00860820" w:rsidRDefault="00860820" w:rsidP="00860820">
      <w:pPr>
        <w:spacing w:after="0" w:line="240" w:lineRule="auto"/>
        <w:jc w:val="both"/>
      </w:pPr>
      <w:r>
        <w:t xml:space="preserve">Según </w:t>
      </w:r>
      <w:proofErr w:type="spellStart"/>
      <w:r>
        <w:t>Eurostat</w:t>
      </w:r>
      <w:proofErr w:type="spellEnd"/>
      <w:r>
        <w:t xml:space="preserve">, 1.2 millones de personas solicitaron asilo por primera vez en la UE el pasado 2015, batiendo un récord histórico, y duplicando la cifra del 2014. De acuerdo a </w:t>
      </w:r>
      <w:proofErr w:type="spellStart"/>
      <w:r>
        <w:t>Eurostat</w:t>
      </w:r>
      <w:proofErr w:type="spellEnd"/>
      <w:r>
        <w:rPr>
          <w:rStyle w:val="Refdenotaalpie"/>
        </w:rPr>
        <w:footnoteReference w:id="11"/>
      </w:r>
      <w:r>
        <w:t xml:space="preserve">, durante el año 2015 Alemania atendió 441.800 peticiones de asilo, seguido de Hungría con 174.435, Suecia con 156.100, y Austria e Italia con 85.505 y 83.245, respectivamente. Hay que recordar que Hungría, Suecia o Austria son países con poblaciones inferiores a los 10 millones de habitantes. El Estado español se sitúa muy a la cola con 14.600 solicitudes de asilo. </w:t>
      </w:r>
    </w:p>
    <w:p w:rsidR="00860820" w:rsidRDefault="00860820" w:rsidP="00860820">
      <w:pPr>
        <w:spacing w:after="0" w:line="240" w:lineRule="auto"/>
        <w:jc w:val="both"/>
      </w:pPr>
    </w:p>
    <w:p w:rsidR="00860820" w:rsidRDefault="00860820" w:rsidP="00860820">
      <w:pPr>
        <w:spacing w:after="0" w:line="240" w:lineRule="auto"/>
        <w:jc w:val="both"/>
      </w:pPr>
      <w:r>
        <w:t>Las solicitudes de asilo hay que contrastarlas con la aceptación por parte de las autoridades. Así, las estadísticas nos dan datos muy relevantes. Por ejemplo, en Alemania un 72% de los solicitantes de asilo consiguieron que se tramitara positivamente su solicitud</w:t>
      </w:r>
      <w:r>
        <w:rPr>
          <w:rStyle w:val="Refdenotaalpie"/>
        </w:rPr>
        <w:footnoteReference w:id="12"/>
      </w:r>
      <w:r>
        <w:t xml:space="preserve">. En cuanto a Suecia, el 61%, Austria no ofrece datos, y Hungría, tan sólo ha acogido el 17% de los solicitantes de asilo. El Estado español con el 38% se sitúa por debajo de la media de aceptaciones, si bien por encima de países como Reino Unido (33%), Francia (28%) o Italia (16%). Destaca un país como Holanda, que recibió un total de 44.000 solicitudes de asilo </w:t>
      </w:r>
      <w:r>
        <w:lastRenderedPageBreak/>
        <w:t xml:space="preserve">durante el 2015, y terminó aceptando el 86% de las mismas. Bélgica, con el mismo número de solicitudes, terminó aceptando a un 60%. </w:t>
      </w:r>
    </w:p>
    <w:p w:rsidR="00860820" w:rsidRDefault="00860820" w:rsidP="00860820">
      <w:pPr>
        <w:spacing w:after="0" w:line="240" w:lineRule="auto"/>
        <w:jc w:val="both"/>
      </w:pPr>
    </w:p>
    <w:p w:rsidR="00860820" w:rsidRDefault="00860820" w:rsidP="00860820">
      <w:pPr>
        <w:spacing w:after="0" w:line="240" w:lineRule="auto"/>
        <w:jc w:val="both"/>
      </w:pPr>
      <w:r>
        <w:t xml:space="preserve">Esos datos reflejan una disparidad notable entre los diferentes Estados Miembros. A su vez podemos cruzarlos con otros datos que no son de </w:t>
      </w:r>
      <w:proofErr w:type="spellStart"/>
      <w:r>
        <w:t>Eurostat</w:t>
      </w:r>
      <w:proofErr w:type="spellEnd"/>
      <w:r>
        <w:t>, por ejemplo, si nos referimos a la crisis siria, de los 9 millones</w:t>
      </w:r>
      <w:r>
        <w:rPr>
          <w:rStyle w:val="Refdenotaalpie"/>
        </w:rPr>
        <w:footnoteReference w:id="13"/>
      </w:r>
      <w:r>
        <w:t xml:space="preserve"> de desplazados desde el inicio de la guerra en Siria, sólo 150.000 han encontrado asilo en Europa, mayormente en Alemania y Suecia</w:t>
      </w:r>
      <w:r>
        <w:rPr>
          <w:rStyle w:val="Refdenotaalpie"/>
        </w:rPr>
        <w:footnoteReference w:id="14"/>
      </w:r>
      <w:r>
        <w:t>. Sin embargo, países como el Reino Unido está en cabeza en aportaciones monetarias destinadas a ayuda humanitaria (600 millones €, duplicando al segundo donante que es Alemania). El Estado español, con 17 millones de aportación aparece también muy por debajo.</w:t>
      </w:r>
    </w:p>
    <w:p w:rsidR="001C5D6F" w:rsidRPr="003031F6" w:rsidRDefault="001C5D6F" w:rsidP="000919AA">
      <w:pPr>
        <w:pStyle w:val="Ttulo1"/>
      </w:pPr>
      <w:bookmarkStart w:id="9" w:name="_Toc460219587"/>
      <w:r w:rsidRPr="003031F6">
        <w:t>Links de interés:</w:t>
      </w:r>
      <w:bookmarkEnd w:id="9"/>
    </w:p>
    <w:p w:rsidR="003031F6" w:rsidRDefault="003031F6" w:rsidP="0011352C">
      <w:pPr>
        <w:spacing w:after="0" w:line="240" w:lineRule="auto"/>
        <w:jc w:val="both"/>
      </w:pPr>
    </w:p>
    <w:p w:rsidR="003031F6" w:rsidRPr="003031F6" w:rsidRDefault="003031F6" w:rsidP="003031F6">
      <w:pPr>
        <w:pStyle w:val="Prrafodelista"/>
        <w:numPr>
          <w:ilvl w:val="0"/>
          <w:numId w:val="5"/>
        </w:numPr>
        <w:spacing w:after="0" w:line="240" w:lineRule="auto"/>
        <w:jc w:val="both"/>
        <w:rPr>
          <w:lang w:val="en-US"/>
        </w:rPr>
      </w:pPr>
      <w:proofErr w:type="spellStart"/>
      <w:r w:rsidRPr="003031F6">
        <w:rPr>
          <w:lang w:val="en-US"/>
        </w:rPr>
        <w:t>Comisión</w:t>
      </w:r>
      <w:proofErr w:type="spellEnd"/>
      <w:r w:rsidRPr="003031F6">
        <w:rPr>
          <w:lang w:val="en-US"/>
        </w:rPr>
        <w:t xml:space="preserve"> </w:t>
      </w:r>
      <w:proofErr w:type="spellStart"/>
      <w:r w:rsidRPr="003031F6">
        <w:rPr>
          <w:lang w:val="en-US"/>
        </w:rPr>
        <w:t>Europea</w:t>
      </w:r>
      <w:proofErr w:type="spellEnd"/>
      <w:r w:rsidRPr="003031F6">
        <w:rPr>
          <w:lang w:val="en-US"/>
        </w:rPr>
        <w:t xml:space="preserve"> – DG Migration and Home Affairs (</w:t>
      </w:r>
      <w:hyperlink r:id="rId10" w:history="1">
        <w:r w:rsidRPr="003031F6">
          <w:rPr>
            <w:rStyle w:val="Hipervnculo"/>
            <w:lang w:val="en-US"/>
          </w:rPr>
          <w:t>link</w:t>
        </w:r>
      </w:hyperlink>
      <w:r w:rsidRPr="003031F6">
        <w:rPr>
          <w:lang w:val="en-US"/>
        </w:rPr>
        <w:t>)</w:t>
      </w:r>
    </w:p>
    <w:p w:rsidR="001C5D6F" w:rsidRPr="003031F6" w:rsidRDefault="001C5D6F" w:rsidP="0011352C">
      <w:pPr>
        <w:spacing w:after="0" w:line="240" w:lineRule="auto"/>
        <w:jc w:val="both"/>
        <w:rPr>
          <w:lang w:val="en-US"/>
        </w:rPr>
      </w:pPr>
    </w:p>
    <w:p w:rsidR="001C5D6F" w:rsidRPr="00FE213E" w:rsidRDefault="00FE213E" w:rsidP="003031F6">
      <w:pPr>
        <w:pStyle w:val="Prrafodelista"/>
        <w:numPr>
          <w:ilvl w:val="0"/>
          <w:numId w:val="5"/>
        </w:numPr>
        <w:spacing w:after="0" w:line="240" w:lineRule="auto"/>
        <w:jc w:val="both"/>
      </w:pPr>
      <w:r w:rsidRPr="00FE213E">
        <w:t xml:space="preserve">Comité de las Regiones (migración – </w:t>
      </w:r>
      <w:hyperlink r:id="rId11" w:history="1">
        <w:r w:rsidRPr="00FE213E">
          <w:rPr>
            <w:rStyle w:val="Hipervnculo"/>
          </w:rPr>
          <w:t>link</w:t>
        </w:r>
      </w:hyperlink>
      <w:r w:rsidRPr="00FE213E">
        <w:t>)</w:t>
      </w:r>
    </w:p>
    <w:p w:rsidR="00FE213E" w:rsidRPr="00FE213E" w:rsidRDefault="00FE213E" w:rsidP="0011352C">
      <w:pPr>
        <w:spacing w:after="0" w:line="240" w:lineRule="auto"/>
        <w:jc w:val="both"/>
      </w:pPr>
    </w:p>
    <w:p w:rsidR="001C5D6F" w:rsidRPr="003031F6" w:rsidRDefault="001C5D6F" w:rsidP="003031F6">
      <w:pPr>
        <w:pStyle w:val="Prrafodelista"/>
        <w:numPr>
          <w:ilvl w:val="0"/>
          <w:numId w:val="5"/>
        </w:numPr>
        <w:spacing w:after="0" w:line="240" w:lineRule="auto"/>
        <w:jc w:val="both"/>
        <w:rPr>
          <w:lang w:val="en-US"/>
        </w:rPr>
      </w:pPr>
      <w:r w:rsidRPr="003031F6">
        <w:rPr>
          <w:lang w:val="en-US"/>
        </w:rPr>
        <w:t>Migration Policy Center (</w:t>
      </w:r>
      <w:r w:rsidR="00FE213E" w:rsidRPr="003031F6">
        <w:rPr>
          <w:lang w:val="en-US"/>
        </w:rPr>
        <w:t xml:space="preserve">European University Institute, </w:t>
      </w:r>
      <w:proofErr w:type="spellStart"/>
      <w:r w:rsidR="00FE213E" w:rsidRPr="003031F6">
        <w:rPr>
          <w:lang w:val="en-US"/>
        </w:rPr>
        <w:t>Florencia</w:t>
      </w:r>
      <w:proofErr w:type="spellEnd"/>
      <w:r w:rsidR="00FE213E" w:rsidRPr="003031F6">
        <w:rPr>
          <w:lang w:val="en-US"/>
        </w:rPr>
        <w:t xml:space="preserve"> - </w:t>
      </w:r>
      <w:hyperlink r:id="rId12" w:history="1">
        <w:r w:rsidR="00FE213E" w:rsidRPr="003031F6">
          <w:rPr>
            <w:rStyle w:val="Hipervnculo"/>
            <w:lang w:val="en-US"/>
          </w:rPr>
          <w:t>link</w:t>
        </w:r>
      </w:hyperlink>
      <w:r w:rsidR="00FE213E" w:rsidRPr="003031F6">
        <w:rPr>
          <w:lang w:val="en-US"/>
        </w:rPr>
        <w:t>)</w:t>
      </w:r>
    </w:p>
    <w:p w:rsidR="00FE213E" w:rsidRDefault="00FE213E" w:rsidP="0011352C">
      <w:pPr>
        <w:spacing w:after="0" w:line="240" w:lineRule="auto"/>
        <w:jc w:val="both"/>
        <w:rPr>
          <w:lang w:val="en-US"/>
        </w:rPr>
      </w:pPr>
    </w:p>
    <w:p w:rsidR="00FE213E" w:rsidRPr="003031F6" w:rsidRDefault="00FE213E" w:rsidP="003031F6">
      <w:pPr>
        <w:pStyle w:val="Prrafodelista"/>
        <w:numPr>
          <w:ilvl w:val="0"/>
          <w:numId w:val="5"/>
        </w:numPr>
        <w:spacing w:after="0" w:line="240" w:lineRule="auto"/>
        <w:jc w:val="both"/>
        <w:rPr>
          <w:lang w:val="en-US"/>
        </w:rPr>
      </w:pPr>
      <w:proofErr w:type="spellStart"/>
      <w:r w:rsidRPr="003031F6">
        <w:rPr>
          <w:lang w:val="en-US"/>
        </w:rPr>
        <w:t>Parlamento</w:t>
      </w:r>
      <w:proofErr w:type="spellEnd"/>
      <w:r w:rsidRPr="003031F6">
        <w:rPr>
          <w:lang w:val="en-US"/>
        </w:rPr>
        <w:t xml:space="preserve"> </w:t>
      </w:r>
      <w:proofErr w:type="spellStart"/>
      <w:r w:rsidRPr="003031F6">
        <w:rPr>
          <w:lang w:val="en-US"/>
        </w:rPr>
        <w:t>Europeo</w:t>
      </w:r>
      <w:proofErr w:type="spellEnd"/>
      <w:r w:rsidRPr="003031F6">
        <w:rPr>
          <w:lang w:val="en-US"/>
        </w:rPr>
        <w:t xml:space="preserve">: </w:t>
      </w:r>
      <w:hyperlink r:id="rId13" w:history="1">
        <w:r w:rsidRPr="003031F6">
          <w:rPr>
            <w:rStyle w:val="Hipervnculo"/>
            <w:lang w:val="en-US"/>
          </w:rPr>
          <w:t>Immigration policy – fact sheet</w:t>
        </w:r>
      </w:hyperlink>
    </w:p>
    <w:p w:rsidR="00FE213E" w:rsidRDefault="00FE213E" w:rsidP="0011352C">
      <w:pPr>
        <w:spacing w:after="0" w:line="240" w:lineRule="auto"/>
        <w:jc w:val="both"/>
        <w:rPr>
          <w:lang w:val="en-US"/>
        </w:rPr>
      </w:pPr>
    </w:p>
    <w:p w:rsidR="00FE213E" w:rsidRPr="001C5D6F" w:rsidRDefault="00FE213E" w:rsidP="0011352C">
      <w:pPr>
        <w:spacing w:after="0" w:line="240" w:lineRule="auto"/>
        <w:jc w:val="both"/>
        <w:rPr>
          <w:lang w:val="en-US"/>
        </w:rPr>
      </w:pPr>
    </w:p>
    <w:sectPr w:rsidR="00FE213E" w:rsidRPr="001C5D6F">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E21" w:rsidRDefault="00A15E21" w:rsidP="00EC3F6A">
      <w:pPr>
        <w:spacing w:after="0" w:line="240" w:lineRule="auto"/>
      </w:pPr>
      <w:r>
        <w:separator/>
      </w:r>
    </w:p>
  </w:endnote>
  <w:endnote w:type="continuationSeparator" w:id="0">
    <w:p w:rsidR="00A15E21" w:rsidRDefault="00A15E21" w:rsidP="00EC3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9AA" w:rsidRDefault="000919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439520"/>
      <w:docPartObj>
        <w:docPartGallery w:val="Page Numbers (Bottom of Page)"/>
        <w:docPartUnique/>
      </w:docPartObj>
    </w:sdtPr>
    <w:sdtContent>
      <w:bookmarkStart w:id="10" w:name="_GoBack" w:displacedByCustomXml="prev"/>
      <w:bookmarkEnd w:id="10" w:displacedByCustomXml="prev"/>
      <w:p w:rsidR="000919AA" w:rsidRDefault="000919AA">
        <w:pPr>
          <w:pStyle w:val="Piedepgina"/>
          <w:jc w:val="right"/>
        </w:pPr>
        <w:r>
          <w:fldChar w:fldCharType="begin"/>
        </w:r>
        <w:r>
          <w:instrText>PAGE   \* MERGEFORMAT</w:instrText>
        </w:r>
        <w:r>
          <w:fldChar w:fldCharType="separate"/>
        </w:r>
        <w:r>
          <w:rPr>
            <w:noProof/>
          </w:rPr>
          <w:t>1</w:t>
        </w:r>
        <w:r>
          <w:fldChar w:fldCharType="end"/>
        </w:r>
      </w:p>
    </w:sdtContent>
  </w:sdt>
  <w:p w:rsidR="002676BA" w:rsidRPr="002676BA" w:rsidRDefault="002676BA">
    <w:pPr>
      <w:pStyle w:val="Piedepgina"/>
      <w:rPr>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9AA" w:rsidRDefault="000919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E21" w:rsidRDefault="00A15E21" w:rsidP="00EC3F6A">
      <w:pPr>
        <w:spacing w:after="0" w:line="240" w:lineRule="auto"/>
      </w:pPr>
      <w:r>
        <w:separator/>
      </w:r>
    </w:p>
  </w:footnote>
  <w:footnote w:type="continuationSeparator" w:id="0">
    <w:p w:rsidR="00A15E21" w:rsidRDefault="00A15E21" w:rsidP="00EC3F6A">
      <w:pPr>
        <w:spacing w:after="0" w:line="240" w:lineRule="auto"/>
      </w:pPr>
      <w:r>
        <w:continuationSeparator/>
      </w:r>
    </w:p>
  </w:footnote>
  <w:footnote w:id="1">
    <w:p w:rsidR="00466201" w:rsidRPr="00466201" w:rsidRDefault="00466201" w:rsidP="00CC652E">
      <w:pPr>
        <w:pStyle w:val="Textonotapie"/>
        <w:jc w:val="both"/>
      </w:pPr>
      <w:r>
        <w:rPr>
          <w:rStyle w:val="Refdenotaalpie"/>
        </w:rPr>
        <w:footnoteRef/>
      </w:r>
      <w:r>
        <w:t xml:space="preserve"> </w:t>
      </w:r>
      <w:hyperlink r:id="rId1" w:history="1">
        <w:r w:rsidRPr="00605D93">
          <w:rPr>
            <w:rStyle w:val="Hipervnculo"/>
          </w:rPr>
          <w:t>http://www.boe.es/doue/2010/083/Z00389-00403.pdf</w:t>
        </w:r>
      </w:hyperlink>
      <w:r>
        <w:t xml:space="preserve"> </w:t>
      </w:r>
    </w:p>
  </w:footnote>
  <w:footnote w:id="2">
    <w:p w:rsidR="00BA7E32" w:rsidRPr="00BA7E32" w:rsidRDefault="00BA7E32" w:rsidP="00CC652E">
      <w:pPr>
        <w:pStyle w:val="Textonotapie"/>
        <w:jc w:val="both"/>
        <w:rPr>
          <w:lang w:val="eu-ES"/>
        </w:rPr>
      </w:pPr>
      <w:r>
        <w:rPr>
          <w:rStyle w:val="Refdenotaalpie"/>
        </w:rPr>
        <w:footnoteRef/>
      </w:r>
      <w:r>
        <w:t xml:space="preserve"> </w:t>
      </w:r>
      <w:r>
        <w:rPr>
          <w:lang w:val="eu-ES"/>
        </w:rPr>
        <w:t xml:space="preserve">Como bien </w:t>
      </w:r>
      <w:proofErr w:type="spellStart"/>
      <w:r>
        <w:rPr>
          <w:lang w:val="eu-ES"/>
        </w:rPr>
        <w:t>es</w:t>
      </w:r>
      <w:proofErr w:type="spellEnd"/>
      <w:r>
        <w:rPr>
          <w:lang w:val="eu-ES"/>
        </w:rPr>
        <w:t xml:space="preserve"> </w:t>
      </w:r>
      <w:proofErr w:type="spellStart"/>
      <w:r>
        <w:rPr>
          <w:lang w:val="eu-ES"/>
        </w:rPr>
        <w:t>sabido</w:t>
      </w:r>
      <w:proofErr w:type="spellEnd"/>
      <w:r>
        <w:rPr>
          <w:lang w:val="eu-ES"/>
        </w:rPr>
        <w:t xml:space="preserve">, </w:t>
      </w:r>
      <w:proofErr w:type="spellStart"/>
      <w:r>
        <w:rPr>
          <w:lang w:val="eu-ES"/>
        </w:rPr>
        <w:t>en</w:t>
      </w:r>
      <w:proofErr w:type="spellEnd"/>
      <w:r>
        <w:rPr>
          <w:lang w:val="eu-ES"/>
        </w:rPr>
        <w:t xml:space="preserve"> este </w:t>
      </w:r>
      <w:proofErr w:type="spellStart"/>
      <w:r>
        <w:rPr>
          <w:lang w:val="eu-ES"/>
        </w:rPr>
        <w:t>procedimiento</w:t>
      </w:r>
      <w:proofErr w:type="spellEnd"/>
      <w:r>
        <w:rPr>
          <w:lang w:val="eu-ES"/>
        </w:rPr>
        <w:t xml:space="preserve"> </w:t>
      </w:r>
      <w:proofErr w:type="spellStart"/>
      <w:r>
        <w:rPr>
          <w:lang w:val="eu-ES"/>
        </w:rPr>
        <w:t>el</w:t>
      </w:r>
      <w:proofErr w:type="spellEnd"/>
      <w:r>
        <w:rPr>
          <w:lang w:val="eu-ES"/>
        </w:rPr>
        <w:t xml:space="preserve"> </w:t>
      </w:r>
      <w:proofErr w:type="spellStart"/>
      <w:r>
        <w:rPr>
          <w:lang w:val="eu-ES"/>
        </w:rPr>
        <w:t>Consejo</w:t>
      </w:r>
      <w:proofErr w:type="spellEnd"/>
      <w:r>
        <w:rPr>
          <w:lang w:val="eu-ES"/>
        </w:rPr>
        <w:t xml:space="preserve"> (</w:t>
      </w:r>
      <w:proofErr w:type="spellStart"/>
      <w:r>
        <w:rPr>
          <w:lang w:val="eu-ES"/>
        </w:rPr>
        <w:t>formado</w:t>
      </w:r>
      <w:proofErr w:type="spellEnd"/>
      <w:r>
        <w:rPr>
          <w:lang w:val="eu-ES"/>
        </w:rPr>
        <w:t xml:space="preserve"> </w:t>
      </w:r>
      <w:proofErr w:type="spellStart"/>
      <w:r>
        <w:rPr>
          <w:lang w:val="eu-ES"/>
        </w:rPr>
        <w:t>por</w:t>
      </w:r>
      <w:proofErr w:type="spellEnd"/>
      <w:r>
        <w:rPr>
          <w:lang w:val="eu-ES"/>
        </w:rPr>
        <w:t xml:space="preserve"> </w:t>
      </w:r>
      <w:proofErr w:type="spellStart"/>
      <w:r>
        <w:rPr>
          <w:lang w:val="eu-ES"/>
        </w:rPr>
        <w:t>representantes</w:t>
      </w:r>
      <w:proofErr w:type="spellEnd"/>
      <w:r>
        <w:rPr>
          <w:lang w:val="eu-ES"/>
        </w:rPr>
        <w:t xml:space="preserve"> de </w:t>
      </w:r>
      <w:proofErr w:type="spellStart"/>
      <w:r>
        <w:rPr>
          <w:lang w:val="eu-ES"/>
        </w:rPr>
        <w:t>Estados</w:t>
      </w:r>
      <w:proofErr w:type="spellEnd"/>
      <w:r>
        <w:rPr>
          <w:lang w:val="eu-ES"/>
        </w:rPr>
        <w:t xml:space="preserve"> </w:t>
      </w:r>
      <w:proofErr w:type="spellStart"/>
      <w:r>
        <w:rPr>
          <w:lang w:val="eu-ES"/>
        </w:rPr>
        <w:t>miembros</w:t>
      </w:r>
      <w:proofErr w:type="spellEnd"/>
      <w:r>
        <w:rPr>
          <w:lang w:val="eu-ES"/>
        </w:rPr>
        <w:t xml:space="preserve">) y </w:t>
      </w:r>
      <w:proofErr w:type="spellStart"/>
      <w:r>
        <w:rPr>
          <w:lang w:val="eu-ES"/>
        </w:rPr>
        <w:t>Parlamento</w:t>
      </w:r>
      <w:proofErr w:type="spellEnd"/>
      <w:r>
        <w:rPr>
          <w:lang w:val="eu-ES"/>
        </w:rPr>
        <w:t xml:space="preserve"> </w:t>
      </w:r>
      <w:proofErr w:type="spellStart"/>
      <w:r>
        <w:rPr>
          <w:lang w:val="eu-ES"/>
        </w:rPr>
        <w:t>deben</w:t>
      </w:r>
      <w:proofErr w:type="spellEnd"/>
      <w:r>
        <w:rPr>
          <w:lang w:val="eu-ES"/>
        </w:rPr>
        <w:t xml:space="preserve"> </w:t>
      </w:r>
      <w:proofErr w:type="spellStart"/>
      <w:r>
        <w:rPr>
          <w:lang w:val="eu-ES"/>
        </w:rPr>
        <w:t>llegar</w:t>
      </w:r>
      <w:proofErr w:type="spellEnd"/>
      <w:r>
        <w:rPr>
          <w:lang w:val="eu-ES"/>
        </w:rPr>
        <w:t xml:space="preserve"> a </w:t>
      </w:r>
      <w:proofErr w:type="spellStart"/>
      <w:r>
        <w:rPr>
          <w:lang w:val="eu-ES"/>
        </w:rPr>
        <w:t>un</w:t>
      </w:r>
      <w:proofErr w:type="spellEnd"/>
      <w:r>
        <w:rPr>
          <w:lang w:val="eu-ES"/>
        </w:rPr>
        <w:t xml:space="preserve"> </w:t>
      </w:r>
      <w:proofErr w:type="spellStart"/>
      <w:r>
        <w:rPr>
          <w:lang w:val="eu-ES"/>
        </w:rPr>
        <w:t>acuerdo</w:t>
      </w:r>
      <w:proofErr w:type="spellEnd"/>
      <w:r>
        <w:rPr>
          <w:lang w:val="eu-ES"/>
        </w:rPr>
        <w:t xml:space="preserve"> </w:t>
      </w:r>
      <w:proofErr w:type="spellStart"/>
      <w:r>
        <w:rPr>
          <w:lang w:val="eu-ES"/>
        </w:rPr>
        <w:t>sobre</w:t>
      </w:r>
      <w:proofErr w:type="spellEnd"/>
      <w:r>
        <w:rPr>
          <w:lang w:val="eu-ES"/>
        </w:rPr>
        <w:t xml:space="preserve"> una </w:t>
      </w:r>
      <w:proofErr w:type="spellStart"/>
      <w:r>
        <w:rPr>
          <w:lang w:val="eu-ES"/>
        </w:rPr>
        <w:t>iniciativa</w:t>
      </w:r>
      <w:proofErr w:type="spellEnd"/>
      <w:r>
        <w:rPr>
          <w:lang w:val="eu-ES"/>
        </w:rPr>
        <w:t xml:space="preserve"> </w:t>
      </w:r>
      <w:proofErr w:type="spellStart"/>
      <w:r>
        <w:rPr>
          <w:lang w:val="eu-ES"/>
        </w:rPr>
        <w:t>legislativa</w:t>
      </w:r>
      <w:proofErr w:type="spellEnd"/>
      <w:r>
        <w:rPr>
          <w:lang w:val="eu-ES"/>
        </w:rPr>
        <w:t xml:space="preserve"> </w:t>
      </w:r>
      <w:proofErr w:type="spellStart"/>
      <w:r>
        <w:rPr>
          <w:lang w:val="eu-ES"/>
        </w:rPr>
        <w:t>iniciada</w:t>
      </w:r>
      <w:proofErr w:type="spellEnd"/>
      <w:r>
        <w:rPr>
          <w:lang w:val="eu-ES"/>
        </w:rPr>
        <w:t xml:space="preserve"> </w:t>
      </w:r>
      <w:proofErr w:type="spellStart"/>
      <w:r>
        <w:rPr>
          <w:lang w:val="eu-ES"/>
        </w:rPr>
        <w:t>por</w:t>
      </w:r>
      <w:proofErr w:type="spellEnd"/>
      <w:r>
        <w:rPr>
          <w:lang w:val="eu-ES"/>
        </w:rPr>
        <w:t xml:space="preserve"> la </w:t>
      </w:r>
      <w:proofErr w:type="spellStart"/>
      <w:r>
        <w:rPr>
          <w:lang w:val="eu-ES"/>
        </w:rPr>
        <w:t>Comisión</w:t>
      </w:r>
      <w:proofErr w:type="spellEnd"/>
      <w:r>
        <w:rPr>
          <w:lang w:val="eu-ES"/>
        </w:rPr>
        <w:t xml:space="preserve"> Europea. </w:t>
      </w:r>
    </w:p>
  </w:footnote>
  <w:footnote w:id="3">
    <w:p w:rsidR="007801CE" w:rsidRDefault="007801CE" w:rsidP="00CC652E">
      <w:pPr>
        <w:pStyle w:val="Textonotapie"/>
        <w:jc w:val="both"/>
      </w:pPr>
      <w:r>
        <w:rPr>
          <w:rStyle w:val="Refdenotaalpie"/>
        </w:rPr>
        <w:footnoteRef/>
      </w:r>
      <w:r>
        <w:t xml:space="preserve"> </w:t>
      </w:r>
      <w:r w:rsidRPr="007801CE">
        <w:t xml:space="preserve">Ver ficha síntesis de </w:t>
      </w:r>
      <w:proofErr w:type="spellStart"/>
      <w:r w:rsidRPr="007801CE">
        <w:t>Eurlex</w:t>
      </w:r>
      <w:proofErr w:type="spellEnd"/>
      <w:r w:rsidRPr="007801CE">
        <w:t xml:space="preserve"> – </w:t>
      </w:r>
      <w:hyperlink r:id="rId2" w:history="1">
        <w:r w:rsidR="001B1DB2" w:rsidRPr="00A84A51">
          <w:rPr>
            <w:rStyle w:val="Hipervnculo"/>
          </w:rPr>
          <w:t>http://eur-lex.europa.eu/legal-content/ES/TXT/?uri=URISERV%3Ajl0014</w:t>
        </w:r>
      </w:hyperlink>
      <w:r w:rsidR="001B1DB2">
        <w:t xml:space="preserve"> </w:t>
      </w:r>
    </w:p>
  </w:footnote>
  <w:footnote w:id="4">
    <w:p w:rsidR="000359F0" w:rsidRDefault="000359F0" w:rsidP="00CC652E">
      <w:pPr>
        <w:pStyle w:val="Textonotapie"/>
        <w:jc w:val="both"/>
      </w:pPr>
      <w:r>
        <w:rPr>
          <w:rStyle w:val="Refdenotaalpie"/>
        </w:rPr>
        <w:footnoteRef/>
      </w:r>
      <w:r>
        <w:t xml:space="preserve"> </w:t>
      </w:r>
      <w:r w:rsidR="000B5D76">
        <w:t>A</w:t>
      </w:r>
      <w:r w:rsidR="000B5D76" w:rsidRPr="000B5D76">
        <w:t>rtículo 78, apartado 3, del TFUE</w:t>
      </w:r>
      <w:r w:rsidR="00637B20">
        <w:t xml:space="preserve">. Ver ficha, muy completa, del Parlamento Europeo </w:t>
      </w:r>
      <w:r w:rsidR="000B5D76" w:rsidRPr="000B5D76">
        <w:t xml:space="preserve"> </w:t>
      </w:r>
      <w:hyperlink r:id="rId3" w:history="1">
        <w:r w:rsidRPr="00A16426">
          <w:rPr>
            <w:rStyle w:val="Hipervnculo"/>
          </w:rPr>
          <w:t>http://www.europarl.europa.eu/ftu/pdf/es/FTU_5.12.3.pdf</w:t>
        </w:r>
      </w:hyperlink>
      <w:r>
        <w:t xml:space="preserve"> </w:t>
      </w:r>
    </w:p>
  </w:footnote>
  <w:footnote w:id="5">
    <w:p w:rsidR="000128F7" w:rsidRDefault="000128F7" w:rsidP="00CC652E">
      <w:pPr>
        <w:pStyle w:val="Textonotapie"/>
        <w:jc w:val="both"/>
      </w:pPr>
      <w:r>
        <w:rPr>
          <w:rStyle w:val="Refdenotaalpie"/>
        </w:rPr>
        <w:footnoteRef/>
      </w:r>
      <w:r>
        <w:t xml:space="preserve"> </w:t>
      </w:r>
      <w:r w:rsidRPr="000128F7">
        <w:t>http://www.echr.coe.int/Documents/Convention_SPA.pdf</w:t>
      </w:r>
    </w:p>
  </w:footnote>
  <w:footnote w:id="6">
    <w:p w:rsidR="0011352C" w:rsidRPr="0011352C" w:rsidRDefault="0011352C" w:rsidP="00CC652E">
      <w:pPr>
        <w:pStyle w:val="Textonotapie"/>
        <w:jc w:val="both"/>
      </w:pPr>
      <w:r>
        <w:rPr>
          <w:rStyle w:val="Refdenotaalpie"/>
        </w:rPr>
        <w:footnoteRef/>
      </w:r>
      <w:r>
        <w:t xml:space="preserve"> </w:t>
      </w:r>
      <w:hyperlink r:id="rId4" w:history="1">
        <w:r w:rsidR="00C82539" w:rsidRPr="00A84A51">
          <w:rPr>
            <w:rStyle w:val="Hipervnculo"/>
          </w:rPr>
          <w:t>http://www.consilium.europa.eu/es/press/press-releases/2016/03/18-eu-turkey-statement/</w:t>
        </w:r>
      </w:hyperlink>
      <w:r w:rsidR="00C82539">
        <w:t xml:space="preserve"> ; </w:t>
      </w:r>
      <w:r w:rsidR="00C82539" w:rsidRPr="00C82539">
        <w:t>http://europa.eu/rapid/press-release_MEMO-16-1221_en.htm</w:t>
      </w:r>
    </w:p>
  </w:footnote>
  <w:footnote w:id="7">
    <w:p w:rsidR="00CC652E" w:rsidRDefault="00CC652E" w:rsidP="00CC652E">
      <w:pPr>
        <w:pStyle w:val="Textonotapie"/>
        <w:jc w:val="both"/>
      </w:pPr>
      <w:r>
        <w:rPr>
          <w:rStyle w:val="Refdenotaalpie"/>
        </w:rPr>
        <w:footnoteRef/>
      </w:r>
      <w:r>
        <w:t xml:space="preserve"> Véase </w:t>
      </w:r>
      <w:proofErr w:type="spellStart"/>
      <w:r>
        <w:t>ppr</w:t>
      </w:r>
      <w:proofErr w:type="spellEnd"/>
      <w:r>
        <w:t xml:space="preserve"> ejemplo la opinión de académico de Oxford Steve </w:t>
      </w:r>
      <w:proofErr w:type="spellStart"/>
      <w:r>
        <w:t>Peers</w:t>
      </w:r>
      <w:proofErr w:type="spellEnd"/>
      <w:r>
        <w:t xml:space="preserve"> “</w:t>
      </w:r>
      <w:proofErr w:type="spellStart"/>
      <w:r w:rsidRPr="00CC652E">
        <w:t>The</w:t>
      </w:r>
      <w:proofErr w:type="spellEnd"/>
      <w:r w:rsidRPr="00CC652E">
        <w:t xml:space="preserve"> final EU/</w:t>
      </w:r>
      <w:proofErr w:type="spellStart"/>
      <w:r w:rsidRPr="00CC652E">
        <w:t>Turkey</w:t>
      </w:r>
      <w:proofErr w:type="spellEnd"/>
      <w:r w:rsidRPr="00CC652E">
        <w:t xml:space="preserve"> </w:t>
      </w:r>
      <w:proofErr w:type="spellStart"/>
      <w:r w:rsidRPr="00CC652E">
        <w:t>refugee</w:t>
      </w:r>
      <w:proofErr w:type="spellEnd"/>
      <w:r w:rsidRPr="00CC652E">
        <w:t xml:space="preserve"> </w:t>
      </w:r>
      <w:proofErr w:type="spellStart"/>
      <w:r w:rsidRPr="00CC652E">
        <w:t>deal</w:t>
      </w:r>
      <w:proofErr w:type="spellEnd"/>
      <w:r w:rsidRPr="00CC652E">
        <w:t xml:space="preserve">: a legal </w:t>
      </w:r>
      <w:proofErr w:type="spellStart"/>
      <w:r w:rsidRPr="00CC652E">
        <w:t>assessment</w:t>
      </w:r>
      <w:proofErr w:type="spellEnd"/>
      <w:r>
        <w:t xml:space="preserve">”, en </w:t>
      </w:r>
      <w:r w:rsidRPr="00CC652E">
        <w:t>http://eulawanalysis.blogspot.be/2016/03/the-final-euturkey-refugee-deal-legal.html</w:t>
      </w:r>
    </w:p>
  </w:footnote>
  <w:footnote w:id="8">
    <w:p w:rsidR="000C21FA" w:rsidRDefault="000C21FA">
      <w:pPr>
        <w:pStyle w:val="Textonotapie"/>
      </w:pPr>
      <w:r>
        <w:rPr>
          <w:rStyle w:val="Refdenotaalpie"/>
        </w:rPr>
        <w:footnoteRef/>
      </w:r>
      <w:r>
        <w:t xml:space="preserve"> </w:t>
      </w:r>
      <w:hyperlink r:id="rId5" w:history="1">
        <w:r w:rsidRPr="00A84A51">
          <w:rPr>
            <w:rStyle w:val="Hipervnculo"/>
          </w:rPr>
          <w:t>http://cor.europa.eu/en/activities/opinions/Pages/opinion-factsheet.aspx?OpinionNumber=CDR%202607/2015</w:t>
        </w:r>
      </w:hyperlink>
      <w:r>
        <w:t xml:space="preserve"> </w:t>
      </w:r>
    </w:p>
  </w:footnote>
  <w:footnote w:id="9">
    <w:p w:rsidR="00860820" w:rsidRPr="00860820" w:rsidRDefault="00860820">
      <w:pPr>
        <w:pStyle w:val="Textonotapie"/>
      </w:pPr>
      <w:r>
        <w:rPr>
          <w:rStyle w:val="Refdenotaalpie"/>
        </w:rPr>
        <w:footnoteRef/>
      </w:r>
      <w:r>
        <w:t xml:space="preserve"> </w:t>
      </w:r>
      <w:hyperlink r:id="rId6" w:history="1">
        <w:r w:rsidRPr="00B10CA9">
          <w:rPr>
            <w:rStyle w:val="Hipervnculo"/>
          </w:rPr>
          <w:t>http://europa.eu/rapid/press-release_IP-16-2433_es.htm</w:t>
        </w:r>
      </w:hyperlink>
      <w:r>
        <w:t xml:space="preserve"> </w:t>
      </w:r>
    </w:p>
  </w:footnote>
  <w:footnote w:id="10">
    <w:p w:rsidR="00C82539" w:rsidRDefault="00C82539">
      <w:pPr>
        <w:pStyle w:val="Textonotapie"/>
      </w:pPr>
      <w:r>
        <w:rPr>
          <w:rStyle w:val="Refdenotaalpie"/>
        </w:rPr>
        <w:footnoteRef/>
      </w:r>
      <w:r>
        <w:t xml:space="preserve"> </w:t>
      </w:r>
      <w:hyperlink r:id="rId7" w:history="1">
        <w:r w:rsidRPr="00A84A51">
          <w:rPr>
            <w:rStyle w:val="Hipervnculo"/>
          </w:rPr>
          <w:t>http://extranjeros.empleo.gob.es/es/Fondos_comunitarios/fami/</w:t>
        </w:r>
      </w:hyperlink>
      <w:r>
        <w:t xml:space="preserve"> </w:t>
      </w:r>
    </w:p>
  </w:footnote>
  <w:footnote w:id="11">
    <w:p w:rsidR="00860820" w:rsidRDefault="00860820" w:rsidP="00860820">
      <w:pPr>
        <w:pStyle w:val="Textonotapie"/>
        <w:jc w:val="both"/>
      </w:pPr>
      <w:r>
        <w:rPr>
          <w:rStyle w:val="Refdenotaalpie"/>
        </w:rPr>
        <w:footnoteRef/>
      </w:r>
      <w:r>
        <w:t xml:space="preserve"> </w:t>
      </w:r>
      <w:hyperlink r:id="rId8" w:history="1">
        <w:r w:rsidRPr="00A16426">
          <w:rPr>
            <w:rStyle w:val="Hipervnculo"/>
          </w:rPr>
          <w:t>http://ec.europa.eu/eurostat/statistics-explained/index.php/File:Asylum_applicants_(including_first_time_asylum_applicants),_Q4_2014_%E2%80%93_Q4_2015.png</w:t>
        </w:r>
      </w:hyperlink>
      <w:r>
        <w:t xml:space="preserve"> </w:t>
      </w:r>
    </w:p>
  </w:footnote>
  <w:footnote w:id="12">
    <w:p w:rsidR="00860820" w:rsidRDefault="00860820" w:rsidP="00860820">
      <w:pPr>
        <w:pStyle w:val="Textonotapie"/>
        <w:jc w:val="both"/>
      </w:pPr>
      <w:r>
        <w:rPr>
          <w:rStyle w:val="Refdenotaalpie"/>
        </w:rPr>
        <w:footnoteRef/>
      </w:r>
      <w:r>
        <w:t xml:space="preserve"> Datos del Q4 de 2015 </w:t>
      </w:r>
      <w:hyperlink r:id="rId9" w:history="1">
        <w:r w:rsidRPr="00A16426">
          <w:rPr>
            <w:rStyle w:val="Hipervnculo"/>
          </w:rPr>
          <w:t>http://ec.europa.eu/eurostat/statistics-explained/index.php/File:First_instance_decisions_by_outcome_and_recognition_rates,_4th_quarter_2015.png</w:t>
        </w:r>
      </w:hyperlink>
      <w:r>
        <w:t xml:space="preserve"> </w:t>
      </w:r>
    </w:p>
  </w:footnote>
  <w:footnote w:id="13">
    <w:p w:rsidR="00860820" w:rsidRDefault="00860820" w:rsidP="00860820">
      <w:pPr>
        <w:pStyle w:val="Textonotapie"/>
        <w:jc w:val="both"/>
      </w:pPr>
      <w:r>
        <w:rPr>
          <w:rStyle w:val="Refdenotaalpie"/>
        </w:rPr>
        <w:footnoteRef/>
      </w:r>
      <w:r>
        <w:t xml:space="preserve"> </w:t>
      </w:r>
      <w:hyperlink r:id="rId10" w:history="1">
        <w:r w:rsidRPr="00A16426">
          <w:rPr>
            <w:rStyle w:val="Hipervnculo"/>
          </w:rPr>
          <w:t>http://syrianrefugees.eu/?page_id=10</w:t>
        </w:r>
      </w:hyperlink>
      <w:r>
        <w:t xml:space="preserve"> </w:t>
      </w:r>
    </w:p>
  </w:footnote>
  <w:footnote w:id="14">
    <w:p w:rsidR="00860820" w:rsidRDefault="00860820" w:rsidP="00860820">
      <w:pPr>
        <w:pStyle w:val="Textonotapie"/>
        <w:jc w:val="both"/>
      </w:pPr>
      <w:r>
        <w:rPr>
          <w:rStyle w:val="Refdenotaalpie"/>
        </w:rPr>
        <w:footnoteRef/>
      </w:r>
      <w:r>
        <w:t xml:space="preserve"> De Acuerdo a la Comisión Europea, el número total de refugiados sirios asciende a 6.5 millones, y no 9 millones como asegura </w:t>
      </w:r>
      <w:proofErr w:type="spellStart"/>
      <w:r w:rsidRPr="00BA7E32">
        <w:rPr>
          <w:i/>
        </w:rPr>
        <w:t>Libération</w:t>
      </w:r>
      <w:proofErr w:type="spellEnd"/>
      <w:r>
        <w:t xml:space="preserve"> en la web www.syrianrefugees.eu.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9AA" w:rsidRDefault="000919A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6A" w:rsidRPr="004E20C4" w:rsidRDefault="00EC3F6A" w:rsidP="00EC3F6A">
    <w:pPr>
      <w:pStyle w:val="Encabezado"/>
      <w:rPr>
        <w:b/>
        <w:i/>
        <w:sz w:val="16"/>
        <w:szCs w:val="16"/>
      </w:rPr>
    </w:pPr>
    <w:r w:rsidRPr="004E20C4">
      <w:rPr>
        <w:b/>
        <w:i/>
        <w:sz w:val="16"/>
        <w:szCs w:val="16"/>
      </w:rPr>
      <w:t xml:space="preserve">Ficha resumen – </w:t>
    </w:r>
    <w:proofErr w:type="spellStart"/>
    <w:r w:rsidRPr="004E20C4">
      <w:rPr>
        <w:b/>
        <w:i/>
        <w:sz w:val="16"/>
        <w:szCs w:val="16"/>
      </w:rPr>
      <w:t>laburpena</w:t>
    </w:r>
    <w:proofErr w:type="spellEnd"/>
  </w:p>
  <w:p w:rsidR="00EC3F6A" w:rsidRDefault="00EC3F6A" w:rsidP="00EC3F6A">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9AA" w:rsidRDefault="000919A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D1357"/>
    <w:multiLevelType w:val="hybridMultilevel"/>
    <w:tmpl w:val="4FFE44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2B352A9"/>
    <w:multiLevelType w:val="hybridMultilevel"/>
    <w:tmpl w:val="C30EA2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5C57BF3"/>
    <w:multiLevelType w:val="hybridMultilevel"/>
    <w:tmpl w:val="DC0C47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CFA4CB0"/>
    <w:multiLevelType w:val="hybridMultilevel"/>
    <w:tmpl w:val="78D4E9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E38112B"/>
    <w:multiLevelType w:val="hybridMultilevel"/>
    <w:tmpl w:val="951E05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925"/>
    <w:rsid w:val="000128F7"/>
    <w:rsid w:val="000359F0"/>
    <w:rsid w:val="0004373B"/>
    <w:rsid w:val="000919AA"/>
    <w:rsid w:val="000A2814"/>
    <w:rsid w:val="000B4CE4"/>
    <w:rsid w:val="000B5D76"/>
    <w:rsid w:val="000B7EA8"/>
    <w:rsid w:val="000C21FA"/>
    <w:rsid w:val="000E06FA"/>
    <w:rsid w:val="001055F6"/>
    <w:rsid w:val="0011352C"/>
    <w:rsid w:val="00121C52"/>
    <w:rsid w:val="00124AF1"/>
    <w:rsid w:val="001535E7"/>
    <w:rsid w:val="001579A1"/>
    <w:rsid w:val="0016233B"/>
    <w:rsid w:val="0018553A"/>
    <w:rsid w:val="00193C6D"/>
    <w:rsid w:val="001A1423"/>
    <w:rsid w:val="001A58CD"/>
    <w:rsid w:val="001B1DB2"/>
    <w:rsid w:val="001C4889"/>
    <w:rsid w:val="001C5D6F"/>
    <w:rsid w:val="001D4CFD"/>
    <w:rsid w:val="002676BA"/>
    <w:rsid w:val="00283437"/>
    <w:rsid w:val="00283957"/>
    <w:rsid w:val="00290033"/>
    <w:rsid w:val="002A0399"/>
    <w:rsid w:val="002C2F55"/>
    <w:rsid w:val="002D1C0D"/>
    <w:rsid w:val="002D3997"/>
    <w:rsid w:val="002D3B1E"/>
    <w:rsid w:val="003031F6"/>
    <w:rsid w:val="00330E51"/>
    <w:rsid w:val="00337539"/>
    <w:rsid w:val="00376A6C"/>
    <w:rsid w:val="00402D5D"/>
    <w:rsid w:val="00404CD3"/>
    <w:rsid w:val="00407FED"/>
    <w:rsid w:val="00416628"/>
    <w:rsid w:val="00425355"/>
    <w:rsid w:val="004270E4"/>
    <w:rsid w:val="0045545B"/>
    <w:rsid w:val="00466201"/>
    <w:rsid w:val="00470CF9"/>
    <w:rsid w:val="00480B9F"/>
    <w:rsid w:val="004F28DC"/>
    <w:rsid w:val="0050377E"/>
    <w:rsid w:val="0058274D"/>
    <w:rsid w:val="005A1C25"/>
    <w:rsid w:val="005A6201"/>
    <w:rsid w:val="005D5067"/>
    <w:rsid w:val="005F052C"/>
    <w:rsid w:val="00637B20"/>
    <w:rsid w:val="00660D48"/>
    <w:rsid w:val="00663557"/>
    <w:rsid w:val="0067066B"/>
    <w:rsid w:val="00676DCB"/>
    <w:rsid w:val="00682D77"/>
    <w:rsid w:val="006C60B7"/>
    <w:rsid w:val="00703E16"/>
    <w:rsid w:val="00737261"/>
    <w:rsid w:val="007607DC"/>
    <w:rsid w:val="00776958"/>
    <w:rsid w:val="007801CE"/>
    <w:rsid w:val="00785073"/>
    <w:rsid w:val="007E44E0"/>
    <w:rsid w:val="007F47ED"/>
    <w:rsid w:val="007F6EA7"/>
    <w:rsid w:val="0080529D"/>
    <w:rsid w:val="00841612"/>
    <w:rsid w:val="00854358"/>
    <w:rsid w:val="00860820"/>
    <w:rsid w:val="00880825"/>
    <w:rsid w:val="008957CE"/>
    <w:rsid w:val="008B6763"/>
    <w:rsid w:val="008F69DC"/>
    <w:rsid w:val="00911207"/>
    <w:rsid w:val="009171F7"/>
    <w:rsid w:val="009264A1"/>
    <w:rsid w:val="0093494F"/>
    <w:rsid w:val="00964925"/>
    <w:rsid w:val="009817B6"/>
    <w:rsid w:val="009B2673"/>
    <w:rsid w:val="009C425B"/>
    <w:rsid w:val="009E176A"/>
    <w:rsid w:val="009F7700"/>
    <w:rsid w:val="00A134EC"/>
    <w:rsid w:val="00A15E21"/>
    <w:rsid w:val="00A43F71"/>
    <w:rsid w:val="00A53273"/>
    <w:rsid w:val="00AA4C15"/>
    <w:rsid w:val="00AC18A3"/>
    <w:rsid w:val="00AF1A16"/>
    <w:rsid w:val="00B230A8"/>
    <w:rsid w:val="00B23B0F"/>
    <w:rsid w:val="00B33FFD"/>
    <w:rsid w:val="00B44859"/>
    <w:rsid w:val="00B66A3F"/>
    <w:rsid w:val="00B87AFC"/>
    <w:rsid w:val="00BA7E32"/>
    <w:rsid w:val="00C21D69"/>
    <w:rsid w:val="00C45F47"/>
    <w:rsid w:val="00C725DC"/>
    <w:rsid w:val="00C82539"/>
    <w:rsid w:val="00CA49C4"/>
    <w:rsid w:val="00CC3760"/>
    <w:rsid w:val="00CC652E"/>
    <w:rsid w:val="00D433F5"/>
    <w:rsid w:val="00D451A6"/>
    <w:rsid w:val="00D92764"/>
    <w:rsid w:val="00DA54BC"/>
    <w:rsid w:val="00DD19CA"/>
    <w:rsid w:val="00DD58F2"/>
    <w:rsid w:val="00DE195E"/>
    <w:rsid w:val="00DE4B31"/>
    <w:rsid w:val="00E25785"/>
    <w:rsid w:val="00E72113"/>
    <w:rsid w:val="00E74696"/>
    <w:rsid w:val="00E9060D"/>
    <w:rsid w:val="00E90771"/>
    <w:rsid w:val="00E94220"/>
    <w:rsid w:val="00EC3F6A"/>
    <w:rsid w:val="00EC561B"/>
    <w:rsid w:val="00EC7A2D"/>
    <w:rsid w:val="00EE509C"/>
    <w:rsid w:val="00F15BED"/>
    <w:rsid w:val="00F176FE"/>
    <w:rsid w:val="00F33816"/>
    <w:rsid w:val="00F41063"/>
    <w:rsid w:val="00F45648"/>
    <w:rsid w:val="00F54238"/>
    <w:rsid w:val="00F5686A"/>
    <w:rsid w:val="00FA42C6"/>
    <w:rsid w:val="00FC2082"/>
    <w:rsid w:val="00FE21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style>
  <w:style w:type="paragraph" w:styleId="Ttulo1">
    <w:name w:val="heading 1"/>
    <w:basedOn w:val="Normal"/>
    <w:next w:val="Normal"/>
    <w:link w:val="Ttulo1Car"/>
    <w:uiPriority w:val="9"/>
    <w:qFormat/>
    <w:rsid w:val="003031F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0919A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23B0F"/>
    <w:rPr>
      <w:color w:val="0563C1" w:themeColor="hyperlink"/>
      <w:u w:val="single"/>
    </w:rPr>
  </w:style>
  <w:style w:type="paragraph" w:styleId="Prrafodelista">
    <w:name w:val="List Paragraph"/>
    <w:basedOn w:val="Normal"/>
    <w:uiPriority w:val="34"/>
    <w:qFormat/>
    <w:rsid w:val="00DD19CA"/>
    <w:pPr>
      <w:ind w:left="720"/>
      <w:contextualSpacing/>
    </w:pPr>
  </w:style>
  <w:style w:type="paragraph" w:styleId="Encabezado">
    <w:name w:val="header"/>
    <w:basedOn w:val="Normal"/>
    <w:link w:val="EncabezadoCar"/>
    <w:uiPriority w:val="99"/>
    <w:unhideWhenUsed/>
    <w:rsid w:val="00EC3F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3F6A"/>
  </w:style>
  <w:style w:type="paragraph" w:styleId="Piedepgina">
    <w:name w:val="footer"/>
    <w:basedOn w:val="Normal"/>
    <w:link w:val="PiedepginaCar"/>
    <w:uiPriority w:val="99"/>
    <w:unhideWhenUsed/>
    <w:rsid w:val="00EC3F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3F6A"/>
  </w:style>
  <w:style w:type="table" w:styleId="Tablaconcuadrcula">
    <w:name w:val="Table Grid"/>
    <w:basedOn w:val="Tablanormal"/>
    <w:uiPriority w:val="39"/>
    <w:rsid w:val="00EC3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DA54BC"/>
    <w:pPr>
      <w:spacing w:after="0" w:line="240" w:lineRule="auto"/>
    </w:pPr>
    <w:rPr>
      <w:sz w:val="20"/>
      <w:szCs w:val="20"/>
    </w:rPr>
  </w:style>
  <w:style w:type="character" w:customStyle="1" w:styleId="TextonotapieCar">
    <w:name w:val="Texto nota pie Car"/>
    <w:basedOn w:val="Fuentedeprrafopredeter"/>
    <w:link w:val="Textonotapie"/>
    <w:uiPriority w:val="99"/>
    <w:rsid w:val="00DA54BC"/>
    <w:rPr>
      <w:sz w:val="20"/>
      <w:szCs w:val="20"/>
    </w:rPr>
  </w:style>
  <w:style w:type="character" w:styleId="Refdenotaalpie">
    <w:name w:val="footnote reference"/>
    <w:basedOn w:val="Fuentedeprrafopredeter"/>
    <w:uiPriority w:val="99"/>
    <w:semiHidden/>
    <w:unhideWhenUsed/>
    <w:rsid w:val="00DA54BC"/>
    <w:rPr>
      <w:vertAlign w:val="superscript"/>
    </w:rPr>
  </w:style>
  <w:style w:type="character" w:styleId="Hipervnculovisitado">
    <w:name w:val="FollowedHyperlink"/>
    <w:basedOn w:val="Fuentedeprrafopredeter"/>
    <w:uiPriority w:val="99"/>
    <w:semiHidden/>
    <w:unhideWhenUsed/>
    <w:rsid w:val="00AC18A3"/>
    <w:rPr>
      <w:color w:val="954F72" w:themeColor="followedHyperlink"/>
      <w:u w:val="single"/>
    </w:rPr>
  </w:style>
  <w:style w:type="character" w:customStyle="1" w:styleId="Ttulo1Car">
    <w:name w:val="Título 1 Car"/>
    <w:basedOn w:val="Fuentedeprrafopredeter"/>
    <w:link w:val="Ttulo1"/>
    <w:uiPriority w:val="9"/>
    <w:rsid w:val="003031F6"/>
    <w:rPr>
      <w:rFonts w:asciiTheme="majorHAnsi" w:eastAsiaTheme="majorEastAsia" w:hAnsiTheme="majorHAnsi" w:cstheme="majorBidi"/>
      <w:b/>
      <w:bCs/>
      <w:color w:val="2E74B5" w:themeColor="accent1" w:themeShade="BF"/>
      <w:sz w:val="28"/>
      <w:szCs w:val="28"/>
    </w:rPr>
  </w:style>
  <w:style w:type="paragraph" w:styleId="TtulodeTDC">
    <w:name w:val="TOC Heading"/>
    <w:basedOn w:val="Ttulo1"/>
    <w:next w:val="Normal"/>
    <w:uiPriority w:val="99"/>
    <w:qFormat/>
    <w:rsid w:val="003031F6"/>
    <w:pPr>
      <w:spacing w:line="276" w:lineRule="auto"/>
      <w:outlineLvl w:val="9"/>
    </w:pPr>
    <w:rPr>
      <w:rFonts w:ascii="Cambria" w:eastAsia="Times New Roman" w:hAnsi="Cambria" w:cs="Times New Roman"/>
      <w:color w:val="365F91"/>
      <w:lang w:val="eu-ES"/>
    </w:rPr>
  </w:style>
  <w:style w:type="paragraph" w:styleId="TDC1">
    <w:name w:val="toc 1"/>
    <w:basedOn w:val="Normal"/>
    <w:next w:val="Normal"/>
    <w:autoRedefine/>
    <w:uiPriority w:val="39"/>
    <w:rsid w:val="003031F6"/>
    <w:pPr>
      <w:tabs>
        <w:tab w:val="right" w:leader="dot" w:pos="8497"/>
      </w:tabs>
      <w:spacing w:before="120" w:after="120" w:line="240" w:lineRule="auto"/>
    </w:pPr>
    <w:rPr>
      <w:rFonts w:ascii="Calibri" w:eastAsia="Times New Roman" w:hAnsi="Calibri" w:cs="Times New Roman"/>
      <w:b/>
      <w:bCs/>
      <w:caps/>
      <w:noProof/>
      <w:sz w:val="20"/>
      <w:szCs w:val="24"/>
      <w:lang w:val="eu-ES" w:eastAsia="eu-ES"/>
    </w:rPr>
  </w:style>
  <w:style w:type="paragraph" w:styleId="TDC2">
    <w:name w:val="toc 2"/>
    <w:basedOn w:val="Normal"/>
    <w:next w:val="Normal"/>
    <w:autoRedefine/>
    <w:uiPriority w:val="39"/>
    <w:rsid w:val="003031F6"/>
    <w:pPr>
      <w:spacing w:after="100" w:line="240" w:lineRule="auto"/>
      <w:ind w:left="240"/>
    </w:pPr>
    <w:rPr>
      <w:rFonts w:ascii="Calibri" w:eastAsia="Calibri" w:hAnsi="Calibri" w:cs="Times New Roman"/>
      <w:sz w:val="24"/>
      <w:szCs w:val="24"/>
      <w:lang w:val="en-GB"/>
    </w:rPr>
  </w:style>
  <w:style w:type="character" w:customStyle="1" w:styleId="Ttulo2Car">
    <w:name w:val="Título 2 Car"/>
    <w:basedOn w:val="Fuentedeprrafopredeter"/>
    <w:link w:val="Ttulo2"/>
    <w:uiPriority w:val="9"/>
    <w:rsid w:val="000919AA"/>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style>
  <w:style w:type="paragraph" w:styleId="Ttulo1">
    <w:name w:val="heading 1"/>
    <w:basedOn w:val="Normal"/>
    <w:next w:val="Normal"/>
    <w:link w:val="Ttulo1Car"/>
    <w:uiPriority w:val="9"/>
    <w:qFormat/>
    <w:rsid w:val="003031F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0919A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23B0F"/>
    <w:rPr>
      <w:color w:val="0563C1" w:themeColor="hyperlink"/>
      <w:u w:val="single"/>
    </w:rPr>
  </w:style>
  <w:style w:type="paragraph" w:styleId="Prrafodelista">
    <w:name w:val="List Paragraph"/>
    <w:basedOn w:val="Normal"/>
    <w:uiPriority w:val="34"/>
    <w:qFormat/>
    <w:rsid w:val="00DD19CA"/>
    <w:pPr>
      <w:ind w:left="720"/>
      <w:contextualSpacing/>
    </w:pPr>
  </w:style>
  <w:style w:type="paragraph" w:styleId="Encabezado">
    <w:name w:val="header"/>
    <w:basedOn w:val="Normal"/>
    <w:link w:val="EncabezadoCar"/>
    <w:uiPriority w:val="99"/>
    <w:unhideWhenUsed/>
    <w:rsid w:val="00EC3F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3F6A"/>
  </w:style>
  <w:style w:type="paragraph" w:styleId="Piedepgina">
    <w:name w:val="footer"/>
    <w:basedOn w:val="Normal"/>
    <w:link w:val="PiedepginaCar"/>
    <w:uiPriority w:val="99"/>
    <w:unhideWhenUsed/>
    <w:rsid w:val="00EC3F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3F6A"/>
  </w:style>
  <w:style w:type="table" w:styleId="Tablaconcuadrcula">
    <w:name w:val="Table Grid"/>
    <w:basedOn w:val="Tablanormal"/>
    <w:uiPriority w:val="39"/>
    <w:rsid w:val="00EC3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DA54BC"/>
    <w:pPr>
      <w:spacing w:after="0" w:line="240" w:lineRule="auto"/>
    </w:pPr>
    <w:rPr>
      <w:sz w:val="20"/>
      <w:szCs w:val="20"/>
    </w:rPr>
  </w:style>
  <w:style w:type="character" w:customStyle="1" w:styleId="TextonotapieCar">
    <w:name w:val="Texto nota pie Car"/>
    <w:basedOn w:val="Fuentedeprrafopredeter"/>
    <w:link w:val="Textonotapie"/>
    <w:uiPriority w:val="99"/>
    <w:rsid w:val="00DA54BC"/>
    <w:rPr>
      <w:sz w:val="20"/>
      <w:szCs w:val="20"/>
    </w:rPr>
  </w:style>
  <w:style w:type="character" w:styleId="Refdenotaalpie">
    <w:name w:val="footnote reference"/>
    <w:basedOn w:val="Fuentedeprrafopredeter"/>
    <w:uiPriority w:val="99"/>
    <w:semiHidden/>
    <w:unhideWhenUsed/>
    <w:rsid w:val="00DA54BC"/>
    <w:rPr>
      <w:vertAlign w:val="superscript"/>
    </w:rPr>
  </w:style>
  <w:style w:type="character" w:styleId="Hipervnculovisitado">
    <w:name w:val="FollowedHyperlink"/>
    <w:basedOn w:val="Fuentedeprrafopredeter"/>
    <w:uiPriority w:val="99"/>
    <w:semiHidden/>
    <w:unhideWhenUsed/>
    <w:rsid w:val="00AC18A3"/>
    <w:rPr>
      <w:color w:val="954F72" w:themeColor="followedHyperlink"/>
      <w:u w:val="single"/>
    </w:rPr>
  </w:style>
  <w:style w:type="character" w:customStyle="1" w:styleId="Ttulo1Car">
    <w:name w:val="Título 1 Car"/>
    <w:basedOn w:val="Fuentedeprrafopredeter"/>
    <w:link w:val="Ttulo1"/>
    <w:uiPriority w:val="9"/>
    <w:rsid w:val="003031F6"/>
    <w:rPr>
      <w:rFonts w:asciiTheme="majorHAnsi" w:eastAsiaTheme="majorEastAsia" w:hAnsiTheme="majorHAnsi" w:cstheme="majorBidi"/>
      <w:b/>
      <w:bCs/>
      <w:color w:val="2E74B5" w:themeColor="accent1" w:themeShade="BF"/>
      <w:sz w:val="28"/>
      <w:szCs w:val="28"/>
    </w:rPr>
  </w:style>
  <w:style w:type="paragraph" w:styleId="TtulodeTDC">
    <w:name w:val="TOC Heading"/>
    <w:basedOn w:val="Ttulo1"/>
    <w:next w:val="Normal"/>
    <w:uiPriority w:val="99"/>
    <w:qFormat/>
    <w:rsid w:val="003031F6"/>
    <w:pPr>
      <w:spacing w:line="276" w:lineRule="auto"/>
      <w:outlineLvl w:val="9"/>
    </w:pPr>
    <w:rPr>
      <w:rFonts w:ascii="Cambria" w:eastAsia="Times New Roman" w:hAnsi="Cambria" w:cs="Times New Roman"/>
      <w:color w:val="365F91"/>
      <w:lang w:val="eu-ES"/>
    </w:rPr>
  </w:style>
  <w:style w:type="paragraph" w:styleId="TDC1">
    <w:name w:val="toc 1"/>
    <w:basedOn w:val="Normal"/>
    <w:next w:val="Normal"/>
    <w:autoRedefine/>
    <w:uiPriority w:val="39"/>
    <w:rsid w:val="003031F6"/>
    <w:pPr>
      <w:tabs>
        <w:tab w:val="right" w:leader="dot" w:pos="8497"/>
      </w:tabs>
      <w:spacing w:before="120" w:after="120" w:line="240" w:lineRule="auto"/>
    </w:pPr>
    <w:rPr>
      <w:rFonts w:ascii="Calibri" w:eastAsia="Times New Roman" w:hAnsi="Calibri" w:cs="Times New Roman"/>
      <w:b/>
      <w:bCs/>
      <w:caps/>
      <w:noProof/>
      <w:sz w:val="20"/>
      <w:szCs w:val="24"/>
      <w:lang w:val="eu-ES" w:eastAsia="eu-ES"/>
    </w:rPr>
  </w:style>
  <w:style w:type="paragraph" w:styleId="TDC2">
    <w:name w:val="toc 2"/>
    <w:basedOn w:val="Normal"/>
    <w:next w:val="Normal"/>
    <w:autoRedefine/>
    <w:uiPriority w:val="39"/>
    <w:rsid w:val="003031F6"/>
    <w:pPr>
      <w:spacing w:after="100" w:line="240" w:lineRule="auto"/>
      <w:ind w:left="240"/>
    </w:pPr>
    <w:rPr>
      <w:rFonts w:ascii="Calibri" w:eastAsia="Calibri" w:hAnsi="Calibri" w:cs="Times New Roman"/>
      <w:sz w:val="24"/>
      <w:szCs w:val="24"/>
      <w:lang w:val="en-GB"/>
    </w:rPr>
  </w:style>
  <w:style w:type="character" w:customStyle="1" w:styleId="Ttulo2Car">
    <w:name w:val="Título 2 Car"/>
    <w:basedOn w:val="Fuentedeprrafopredeter"/>
    <w:link w:val="Ttulo2"/>
    <w:uiPriority w:val="9"/>
    <w:rsid w:val="000919AA"/>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uroparl.europa.eu/atyourservice/en/displayFtu.html?ftuId=FTU_5.12.3.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igrationpolicycentre.e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r.europa.eu/en/news/Pages/migration-europe-regions.asp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ec.europa.eu/dgs/home-affairs/"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cor.europa.eu/es/news/Pages/migration-europe-regions.aspx"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eurostat/statistics-explained/index.php/File:Asylum_applicants_(including_first_time_asylum_applicants),_Q4_2014_%E2%80%93_Q4_2015.png" TargetMode="External"/><Relationship Id="rId3" Type="http://schemas.openxmlformats.org/officeDocument/2006/relationships/hyperlink" Target="http://www.europarl.europa.eu/ftu/pdf/es/FTU_5.12.3.pdf" TargetMode="External"/><Relationship Id="rId7" Type="http://schemas.openxmlformats.org/officeDocument/2006/relationships/hyperlink" Target="http://extranjeros.empleo.gob.es/es/Fondos_comunitarios/fami/" TargetMode="External"/><Relationship Id="rId2" Type="http://schemas.openxmlformats.org/officeDocument/2006/relationships/hyperlink" Target="http://eur-lex.europa.eu/legal-content/ES/TXT/?uri=URISERV%3Ajl0014" TargetMode="External"/><Relationship Id="rId1" Type="http://schemas.openxmlformats.org/officeDocument/2006/relationships/hyperlink" Target="http://www.boe.es/doue/2010/083/Z00389-00403.pdf" TargetMode="External"/><Relationship Id="rId6" Type="http://schemas.openxmlformats.org/officeDocument/2006/relationships/hyperlink" Target="http://europa.eu/rapid/press-release_IP-16-2433_es.htm" TargetMode="External"/><Relationship Id="rId5" Type="http://schemas.openxmlformats.org/officeDocument/2006/relationships/hyperlink" Target="http://cor.europa.eu/en/activities/opinions/Pages/opinion-factsheet.aspx?OpinionNumber=CDR%202607/2015" TargetMode="External"/><Relationship Id="rId10" Type="http://schemas.openxmlformats.org/officeDocument/2006/relationships/hyperlink" Target="http://syrianrefugees.eu/?page_id=10" TargetMode="External"/><Relationship Id="rId4" Type="http://schemas.openxmlformats.org/officeDocument/2006/relationships/hyperlink" Target="http://www.consilium.europa.eu/es/press/press-releases/2016/03/18-eu-turkey-statement/" TargetMode="External"/><Relationship Id="rId9" Type="http://schemas.openxmlformats.org/officeDocument/2006/relationships/hyperlink" Target="http://ec.europa.eu/eurostat/statistics-explained/index.php/File:First_instance_decisions_by_outcome_and_recognition_rates,_4th_quarter_2015.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2964D-7230-4E75-8C17-4D4851251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2817</Words>
  <Characters>15497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IRUJO AMEZAGA, Mikel</dc:creator>
  <cp:lastModifiedBy>Irujo Amezaga, Mikel (Delegado del GN en Bruselas)</cp:lastModifiedBy>
  <cp:revision>3</cp:revision>
  <dcterms:created xsi:type="dcterms:W3CDTF">2016-08-29T05:30:00Z</dcterms:created>
  <dcterms:modified xsi:type="dcterms:W3CDTF">2016-08-29T05:39:00Z</dcterms:modified>
</cp:coreProperties>
</file>