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BC" w:rsidRDefault="00FF72BC" w:rsidP="00E200F1"/>
    <w:p w:rsidR="00FF72BC" w:rsidRPr="005A56AB" w:rsidRDefault="00FF72BC" w:rsidP="00E200F1">
      <w:pPr>
        <w:jc w:val="center"/>
        <w:rPr>
          <w:sz w:val="44"/>
          <w:szCs w:val="44"/>
        </w:rPr>
      </w:pPr>
      <w:r w:rsidRPr="005A56AB">
        <w:rPr>
          <w:sz w:val="44"/>
          <w:szCs w:val="44"/>
        </w:rPr>
        <w:t>Paquete energía de la Comisión Europea</w:t>
      </w:r>
      <w:r w:rsidR="00817DB6" w:rsidRPr="000E5D37">
        <w:rPr>
          <w:rStyle w:val="Refdenotaalpie"/>
        </w:rPr>
        <w:footnoteReference w:id="1"/>
      </w:r>
    </w:p>
    <w:p w:rsidR="00FF72BC" w:rsidRDefault="00FF72BC" w:rsidP="00E200F1"/>
    <w:p w:rsidR="00FF72BC" w:rsidRDefault="00FF72BC" w:rsidP="00E200F1"/>
    <w:p w:rsidR="005A56AB" w:rsidRDefault="005A56AB" w:rsidP="00E200F1"/>
    <w:p w:rsidR="00FF72BC" w:rsidRPr="000F0090" w:rsidRDefault="00FF72BC" w:rsidP="00E200F1">
      <w:pPr>
        <w:pStyle w:val="TtuloTDC"/>
        <w:spacing w:before="0" w:line="240" w:lineRule="auto"/>
        <w:rPr>
          <w:lang w:val="es-ES"/>
        </w:rPr>
      </w:pPr>
      <w:r w:rsidRPr="000F0090">
        <w:rPr>
          <w:lang w:val="es-ES"/>
        </w:rPr>
        <w:t>Contenido</w:t>
      </w:r>
    </w:p>
    <w:p w:rsidR="00FF72BC" w:rsidRPr="000F0090" w:rsidRDefault="00FF72BC" w:rsidP="00E200F1">
      <w:pPr>
        <w:pStyle w:val="TDC1"/>
        <w:spacing w:before="0" w:after="0"/>
        <w:rPr>
          <w:rFonts w:ascii="Times New Roman" w:hAnsi="Times New Roman"/>
          <w:szCs w:val="20"/>
          <w:lang w:val="es-ES" w:eastAsia="es-ES"/>
        </w:rPr>
      </w:pPr>
    </w:p>
    <w:p w:rsidR="00E200F1" w:rsidRDefault="00FF72BC" w:rsidP="00E200F1">
      <w:pPr>
        <w:pStyle w:val="TDC1"/>
        <w:spacing w:before="0" w:after="0"/>
        <w:rPr>
          <w:rFonts w:asciiTheme="minorHAnsi" w:eastAsiaTheme="minorEastAsia" w:hAnsiTheme="minorHAnsi" w:cstheme="minorBidi"/>
          <w:b w:val="0"/>
          <w:bCs w:val="0"/>
          <w:caps w:val="0"/>
          <w:sz w:val="22"/>
          <w:szCs w:val="22"/>
          <w:lang w:val="es-ES" w:eastAsia="es-ES"/>
        </w:rPr>
      </w:pPr>
      <w:r w:rsidRPr="000F0090">
        <w:rPr>
          <w:rFonts w:ascii="Times New Roman" w:hAnsi="Times New Roman"/>
          <w:szCs w:val="20"/>
          <w:lang w:val="es-ES" w:eastAsia="es-ES"/>
        </w:rPr>
        <w:fldChar w:fldCharType="begin"/>
      </w:r>
      <w:r w:rsidRPr="000F0090">
        <w:rPr>
          <w:rFonts w:ascii="Times New Roman" w:hAnsi="Times New Roman"/>
          <w:lang w:val="es-ES"/>
        </w:rPr>
        <w:instrText xml:space="preserve"> TOC \o "1-3" \h \z \u </w:instrText>
      </w:r>
      <w:r w:rsidRPr="000F0090">
        <w:rPr>
          <w:rFonts w:ascii="Times New Roman" w:hAnsi="Times New Roman"/>
          <w:szCs w:val="20"/>
          <w:lang w:val="es-ES" w:eastAsia="es-ES"/>
        </w:rPr>
        <w:fldChar w:fldCharType="separate"/>
      </w:r>
      <w:hyperlink w:anchor="_Toc468980792" w:history="1">
        <w:r w:rsidR="00E200F1" w:rsidRPr="000D73A2">
          <w:rPr>
            <w:rStyle w:val="Hipervnculo"/>
          </w:rPr>
          <w:t>Antececentes</w:t>
        </w:r>
        <w:r w:rsidR="00E200F1">
          <w:rPr>
            <w:webHidden/>
          </w:rPr>
          <w:tab/>
        </w:r>
        <w:r w:rsidR="00E200F1">
          <w:rPr>
            <w:webHidden/>
          </w:rPr>
          <w:fldChar w:fldCharType="begin"/>
        </w:r>
        <w:r w:rsidR="00E200F1">
          <w:rPr>
            <w:webHidden/>
          </w:rPr>
          <w:instrText xml:space="preserve"> PAGEREF _Toc468980792 \h </w:instrText>
        </w:r>
        <w:r w:rsidR="00E200F1">
          <w:rPr>
            <w:webHidden/>
          </w:rPr>
        </w:r>
        <w:r w:rsidR="00E200F1">
          <w:rPr>
            <w:webHidden/>
          </w:rPr>
          <w:fldChar w:fldCharType="separate"/>
        </w:r>
        <w:r w:rsidR="00E200F1">
          <w:rPr>
            <w:webHidden/>
          </w:rPr>
          <w:t>1</w:t>
        </w:r>
        <w:r w:rsidR="00E200F1">
          <w:rPr>
            <w:webHidden/>
          </w:rPr>
          <w:fldChar w:fldCharType="end"/>
        </w:r>
      </w:hyperlink>
    </w:p>
    <w:p w:rsidR="00E200F1" w:rsidRDefault="00D500EB" w:rsidP="00E200F1">
      <w:pPr>
        <w:pStyle w:val="TDC1"/>
        <w:spacing w:before="0" w:after="0"/>
        <w:rPr>
          <w:rFonts w:asciiTheme="minorHAnsi" w:eastAsiaTheme="minorEastAsia" w:hAnsiTheme="minorHAnsi" w:cstheme="minorBidi"/>
          <w:b w:val="0"/>
          <w:bCs w:val="0"/>
          <w:caps w:val="0"/>
          <w:sz w:val="22"/>
          <w:szCs w:val="22"/>
          <w:lang w:val="es-ES" w:eastAsia="es-ES"/>
        </w:rPr>
      </w:pPr>
      <w:hyperlink w:anchor="_Toc468980793" w:history="1">
        <w:r w:rsidR="00E200F1" w:rsidRPr="000D73A2">
          <w:rPr>
            <w:rStyle w:val="Hipervnculo"/>
            <w:lang w:val="es-ES"/>
          </w:rPr>
          <w:t>Objetivos generales</w:t>
        </w:r>
        <w:r w:rsidR="00E200F1">
          <w:rPr>
            <w:webHidden/>
          </w:rPr>
          <w:tab/>
        </w:r>
        <w:r w:rsidR="00E200F1">
          <w:rPr>
            <w:webHidden/>
          </w:rPr>
          <w:fldChar w:fldCharType="begin"/>
        </w:r>
        <w:r w:rsidR="00E200F1">
          <w:rPr>
            <w:webHidden/>
          </w:rPr>
          <w:instrText xml:space="preserve"> PAGEREF _Toc468980793 \h </w:instrText>
        </w:r>
        <w:r w:rsidR="00E200F1">
          <w:rPr>
            <w:webHidden/>
          </w:rPr>
        </w:r>
        <w:r w:rsidR="00E200F1">
          <w:rPr>
            <w:webHidden/>
          </w:rPr>
          <w:fldChar w:fldCharType="separate"/>
        </w:r>
        <w:r w:rsidR="00E200F1">
          <w:rPr>
            <w:webHidden/>
          </w:rPr>
          <w:t>2</w:t>
        </w:r>
        <w:r w:rsidR="00E200F1">
          <w:rPr>
            <w:webHidden/>
          </w:rPr>
          <w:fldChar w:fldCharType="end"/>
        </w:r>
      </w:hyperlink>
    </w:p>
    <w:p w:rsidR="00E200F1" w:rsidRDefault="00D500EB" w:rsidP="00E200F1">
      <w:pPr>
        <w:pStyle w:val="TDC2"/>
        <w:tabs>
          <w:tab w:val="right" w:leader="dot" w:pos="8494"/>
        </w:tabs>
        <w:spacing w:after="0"/>
        <w:rPr>
          <w:rFonts w:eastAsiaTheme="minorEastAsia"/>
          <w:noProof/>
          <w:sz w:val="22"/>
          <w:szCs w:val="22"/>
          <w:lang w:val="es-ES" w:eastAsia="es-ES"/>
        </w:rPr>
      </w:pPr>
      <w:hyperlink w:anchor="_Toc468980794" w:history="1">
        <w:r w:rsidR="00E200F1" w:rsidRPr="000D73A2">
          <w:rPr>
            <w:rStyle w:val="Hipervnculo"/>
            <w:noProof/>
            <w:lang w:val="es-ES"/>
          </w:rPr>
          <w:t>1) Priorizar la eficiencia energética</w:t>
        </w:r>
        <w:r w:rsidR="00E200F1">
          <w:rPr>
            <w:noProof/>
            <w:webHidden/>
          </w:rPr>
          <w:tab/>
        </w:r>
        <w:r w:rsidR="00E200F1">
          <w:rPr>
            <w:noProof/>
            <w:webHidden/>
          </w:rPr>
          <w:fldChar w:fldCharType="begin"/>
        </w:r>
        <w:r w:rsidR="00E200F1">
          <w:rPr>
            <w:noProof/>
            <w:webHidden/>
          </w:rPr>
          <w:instrText xml:space="preserve"> PAGEREF _Toc468980794 \h </w:instrText>
        </w:r>
        <w:r w:rsidR="00E200F1">
          <w:rPr>
            <w:noProof/>
            <w:webHidden/>
          </w:rPr>
        </w:r>
        <w:r w:rsidR="00E200F1">
          <w:rPr>
            <w:noProof/>
            <w:webHidden/>
          </w:rPr>
          <w:fldChar w:fldCharType="separate"/>
        </w:r>
        <w:r w:rsidR="00E200F1">
          <w:rPr>
            <w:noProof/>
            <w:webHidden/>
          </w:rPr>
          <w:t>2</w:t>
        </w:r>
        <w:r w:rsidR="00E200F1">
          <w:rPr>
            <w:noProof/>
            <w:webHidden/>
          </w:rPr>
          <w:fldChar w:fldCharType="end"/>
        </w:r>
      </w:hyperlink>
    </w:p>
    <w:p w:rsidR="00E200F1" w:rsidRDefault="00D500EB" w:rsidP="00E200F1">
      <w:pPr>
        <w:pStyle w:val="TDC2"/>
        <w:tabs>
          <w:tab w:val="right" w:leader="dot" w:pos="8494"/>
        </w:tabs>
        <w:spacing w:after="0"/>
        <w:rPr>
          <w:rFonts w:eastAsiaTheme="minorEastAsia"/>
          <w:noProof/>
          <w:sz w:val="22"/>
          <w:szCs w:val="22"/>
          <w:lang w:val="es-ES" w:eastAsia="es-ES"/>
        </w:rPr>
      </w:pPr>
      <w:hyperlink w:anchor="_Toc468980795" w:history="1">
        <w:r w:rsidR="00E200F1" w:rsidRPr="000D73A2">
          <w:rPr>
            <w:rStyle w:val="Hipervnculo"/>
            <w:noProof/>
            <w:lang w:val="es-ES"/>
          </w:rPr>
          <w:t>2) Lograr el liderazgo mundial en energías renovables</w:t>
        </w:r>
        <w:r w:rsidR="00E200F1">
          <w:rPr>
            <w:noProof/>
            <w:webHidden/>
          </w:rPr>
          <w:tab/>
        </w:r>
        <w:r w:rsidR="00E200F1">
          <w:rPr>
            <w:noProof/>
            <w:webHidden/>
          </w:rPr>
          <w:fldChar w:fldCharType="begin"/>
        </w:r>
        <w:r w:rsidR="00E200F1">
          <w:rPr>
            <w:noProof/>
            <w:webHidden/>
          </w:rPr>
          <w:instrText xml:space="preserve"> PAGEREF _Toc468980795 \h </w:instrText>
        </w:r>
        <w:r w:rsidR="00E200F1">
          <w:rPr>
            <w:noProof/>
            <w:webHidden/>
          </w:rPr>
        </w:r>
        <w:r w:rsidR="00E200F1">
          <w:rPr>
            <w:noProof/>
            <w:webHidden/>
          </w:rPr>
          <w:fldChar w:fldCharType="separate"/>
        </w:r>
        <w:r w:rsidR="00E200F1">
          <w:rPr>
            <w:noProof/>
            <w:webHidden/>
          </w:rPr>
          <w:t>3</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796" w:history="1">
        <w:r w:rsidR="00E200F1" w:rsidRPr="000D73A2">
          <w:rPr>
            <w:rStyle w:val="Hipervnculo"/>
            <w:noProof/>
            <w:lang w:val="es-ES"/>
          </w:rPr>
          <w:t>2.1. Crear un marco propicio para el futuro despliegue de energías renovables en el Sector Eléctrico:</w:t>
        </w:r>
        <w:r w:rsidR="00E200F1">
          <w:rPr>
            <w:noProof/>
            <w:webHidden/>
          </w:rPr>
          <w:tab/>
        </w:r>
        <w:r w:rsidR="00E200F1">
          <w:rPr>
            <w:noProof/>
            <w:webHidden/>
          </w:rPr>
          <w:fldChar w:fldCharType="begin"/>
        </w:r>
        <w:r w:rsidR="00E200F1">
          <w:rPr>
            <w:noProof/>
            <w:webHidden/>
          </w:rPr>
          <w:instrText xml:space="preserve"> PAGEREF _Toc468980796 \h </w:instrText>
        </w:r>
        <w:r w:rsidR="00E200F1">
          <w:rPr>
            <w:noProof/>
            <w:webHidden/>
          </w:rPr>
        </w:r>
        <w:r w:rsidR="00E200F1">
          <w:rPr>
            <w:noProof/>
            <w:webHidden/>
          </w:rPr>
          <w:fldChar w:fldCharType="separate"/>
        </w:r>
        <w:r w:rsidR="00E200F1">
          <w:rPr>
            <w:noProof/>
            <w:webHidden/>
          </w:rPr>
          <w:t>3</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797" w:history="1">
        <w:r w:rsidR="00E200F1" w:rsidRPr="000D73A2">
          <w:rPr>
            <w:rStyle w:val="Hipervnculo"/>
            <w:noProof/>
            <w:lang w:val="es-ES"/>
          </w:rPr>
          <w:t>2.2. Incorporación de las energías renovables en el sector de calefacción y refrigeración:</w:t>
        </w:r>
        <w:r w:rsidR="00E200F1">
          <w:rPr>
            <w:noProof/>
            <w:webHidden/>
          </w:rPr>
          <w:tab/>
        </w:r>
        <w:r w:rsidR="00E200F1">
          <w:rPr>
            <w:noProof/>
            <w:webHidden/>
          </w:rPr>
          <w:fldChar w:fldCharType="begin"/>
        </w:r>
        <w:r w:rsidR="00E200F1">
          <w:rPr>
            <w:noProof/>
            <w:webHidden/>
          </w:rPr>
          <w:instrText xml:space="preserve"> PAGEREF _Toc468980797 \h </w:instrText>
        </w:r>
        <w:r w:rsidR="00E200F1">
          <w:rPr>
            <w:noProof/>
            <w:webHidden/>
          </w:rPr>
        </w:r>
        <w:r w:rsidR="00E200F1">
          <w:rPr>
            <w:noProof/>
            <w:webHidden/>
          </w:rPr>
          <w:fldChar w:fldCharType="separate"/>
        </w:r>
        <w:r w:rsidR="00E200F1">
          <w:rPr>
            <w:noProof/>
            <w:webHidden/>
          </w:rPr>
          <w:t>4</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798" w:history="1">
        <w:r w:rsidR="00E200F1" w:rsidRPr="000D73A2">
          <w:rPr>
            <w:rStyle w:val="Hipervnculo"/>
            <w:noProof/>
            <w:lang w:val="es-ES"/>
          </w:rPr>
          <w:t>2.3. Descarbonizar y diversificar el sector del transporte:</w:t>
        </w:r>
        <w:r w:rsidR="00E200F1">
          <w:rPr>
            <w:noProof/>
            <w:webHidden/>
          </w:rPr>
          <w:tab/>
        </w:r>
        <w:r w:rsidR="00E200F1">
          <w:rPr>
            <w:noProof/>
            <w:webHidden/>
          </w:rPr>
          <w:fldChar w:fldCharType="begin"/>
        </w:r>
        <w:r w:rsidR="00E200F1">
          <w:rPr>
            <w:noProof/>
            <w:webHidden/>
          </w:rPr>
          <w:instrText xml:space="preserve"> PAGEREF _Toc468980798 \h </w:instrText>
        </w:r>
        <w:r w:rsidR="00E200F1">
          <w:rPr>
            <w:noProof/>
            <w:webHidden/>
          </w:rPr>
        </w:r>
        <w:r w:rsidR="00E200F1">
          <w:rPr>
            <w:noProof/>
            <w:webHidden/>
          </w:rPr>
          <w:fldChar w:fldCharType="separate"/>
        </w:r>
        <w:r w:rsidR="00E200F1">
          <w:rPr>
            <w:noProof/>
            <w:webHidden/>
          </w:rPr>
          <w:t>4</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799" w:history="1">
        <w:r w:rsidR="00E200F1" w:rsidRPr="000D73A2">
          <w:rPr>
            <w:rStyle w:val="Hipervnculo"/>
            <w:noProof/>
            <w:lang w:val="es-ES"/>
          </w:rPr>
          <w:t>2.4. Capacitar e informar a los consumidores.</w:t>
        </w:r>
        <w:r w:rsidR="00E200F1">
          <w:rPr>
            <w:noProof/>
            <w:webHidden/>
          </w:rPr>
          <w:tab/>
        </w:r>
        <w:r w:rsidR="00E200F1">
          <w:rPr>
            <w:noProof/>
            <w:webHidden/>
          </w:rPr>
          <w:fldChar w:fldCharType="begin"/>
        </w:r>
        <w:r w:rsidR="00E200F1">
          <w:rPr>
            <w:noProof/>
            <w:webHidden/>
          </w:rPr>
          <w:instrText xml:space="preserve"> PAGEREF _Toc468980799 \h </w:instrText>
        </w:r>
        <w:r w:rsidR="00E200F1">
          <w:rPr>
            <w:noProof/>
            <w:webHidden/>
          </w:rPr>
        </w:r>
        <w:r w:rsidR="00E200F1">
          <w:rPr>
            <w:noProof/>
            <w:webHidden/>
          </w:rPr>
          <w:fldChar w:fldCharType="separate"/>
        </w:r>
        <w:r w:rsidR="00E200F1">
          <w:rPr>
            <w:noProof/>
            <w:webHidden/>
          </w:rPr>
          <w:t>4</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800" w:history="1">
        <w:r w:rsidR="00E200F1" w:rsidRPr="000D73A2">
          <w:rPr>
            <w:rStyle w:val="Hipervnculo"/>
            <w:noProof/>
            <w:lang w:val="es-ES"/>
          </w:rPr>
          <w:t>2.5. Fortalecimiento de los criterios de sostenibilidad de la UE en el sector de la bioenergía:</w:t>
        </w:r>
        <w:r w:rsidR="00E200F1">
          <w:rPr>
            <w:noProof/>
            <w:webHidden/>
          </w:rPr>
          <w:tab/>
        </w:r>
        <w:r w:rsidR="00E200F1">
          <w:rPr>
            <w:noProof/>
            <w:webHidden/>
          </w:rPr>
          <w:fldChar w:fldCharType="begin"/>
        </w:r>
        <w:r w:rsidR="00E200F1">
          <w:rPr>
            <w:noProof/>
            <w:webHidden/>
          </w:rPr>
          <w:instrText xml:space="preserve"> PAGEREF _Toc468980800 \h </w:instrText>
        </w:r>
        <w:r w:rsidR="00E200F1">
          <w:rPr>
            <w:noProof/>
            <w:webHidden/>
          </w:rPr>
        </w:r>
        <w:r w:rsidR="00E200F1">
          <w:rPr>
            <w:noProof/>
            <w:webHidden/>
          </w:rPr>
          <w:fldChar w:fldCharType="separate"/>
        </w:r>
        <w:r w:rsidR="00E200F1">
          <w:rPr>
            <w:noProof/>
            <w:webHidden/>
          </w:rPr>
          <w:t>4</w:t>
        </w:r>
        <w:r w:rsidR="00E200F1">
          <w:rPr>
            <w:noProof/>
            <w:webHidden/>
          </w:rPr>
          <w:fldChar w:fldCharType="end"/>
        </w:r>
      </w:hyperlink>
    </w:p>
    <w:p w:rsidR="00E200F1" w:rsidRDefault="00D500EB" w:rsidP="00E200F1">
      <w:pPr>
        <w:pStyle w:val="TDC3"/>
        <w:tabs>
          <w:tab w:val="right" w:leader="dot" w:pos="8494"/>
        </w:tabs>
        <w:spacing w:after="0"/>
        <w:rPr>
          <w:rFonts w:eastAsiaTheme="minorEastAsia"/>
          <w:noProof/>
          <w:sz w:val="22"/>
          <w:szCs w:val="22"/>
          <w:lang w:val="es-ES" w:eastAsia="es-ES"/>
        </w:rPr>
      </w:pPr>
      <w:hyperlink w:anchor="_Toc468980801" w:history="1">
        <w:r w:rsidR="00E200F1" w:rsidRPr="000D73A2">
          <w:rPr>
            <w:rStyle w:val="Hipervnculo"/>
            <w:noProof/>
            <w:lang w:val="es-ES"/>
          </w:rPr>
          <w:t>2.6. Garantizar que el objetivo vinculante de la UE se alcance a tiempo y de manera rentable:</w:t>
        </w:r>
        <w:r w:rsidR="00E200F1">
          <w:rPr>
            <w:noProof/>
            <w:webHidden/>
          </w:rPr>
          <w:tab/>
        </w:r>
        <w:r w:rsidR="00E200F1">
          <w:rPr>
            <w:noProof/>
            <w:webHidden/>
          </w:rPr>
          <w:fldChar w:fldCharType="begin"/>
        </w:r>
        <w:r w:rsidR="00E200F1">
          <w:rPr>
            <w:noProof/>
            <w:webHidden/>
          </w:rPr>
          <w:instrText xml:space="preserve"> PAGEREF _Toc468980801 \h </w:instrText>
        </w:r>
        <w:r w:rsidR="00E200F1">
          <w:rPr>
            <w:noProof/>
            <w:webHidden/>
          </w:rPr>
        </w:r>
        <w:r w:rsidR="00E200F1">
          <w:rPr>
            <w:noProof/>
            <w:webHidden/>
          </w:rPr>
          <w:fldChar w:fldCharType="separate"/>
        </w:r>
        <w:r w:rsidR="00E200F1">
          <w:rPr>
            <w:noProof/>
            <w:webHidden/>
          </w:rPr>
          <w:t>5</w:t>
        </w:r>
        <w:r w:rsidR="00E200F1">
          <w:rPr>
            <w:noProof/>
            <w:webHidden/>
          </w:rPr>
          <w:fldChar w:fldCharType="end"/>
        </w:r>
      </w:hyperlink>
    </w:p>
    <w:p w:rsidR="00E200F1" w:rsidRDefault="00D500EB" w:rsidP="00E200F1">
      <w:pPr>
        <w:pStyle w:val="TDC2"/>
        <w:tabs>
          <w:tab w:val="right" w:leader="dot" w:pos="8494"/>
        </w:tabs>
        <w:spacing w:after="0"/>
        <w:rPr>
          <w:rFonts w:eastAsiaTheme="minorEastAsia"/>
          <w:noProof/>
          <w:sz w:val="22"/>
          <w:szCs w:val="22"/>
          <w:lang w:val="es-ES" w:eastAsia="es-ES"/>
        </w:rPr>
      </w:pPr>
      <w:hyperlink w:anchor="_Toc468980802" w:history="1">
        <w:r w:rsidR="00E200F1" w:rsidRPr="000D73A2">
          <w:rPr>
            <w:rStyle w:val="Hipervnculo"/>
            <w:noProof/>
            <w:lang w:val="es-ES"/>
          </w:rPr>
          <w:t>3) Un marco más favorable para el consumidor</w:t>
        </w:r>
        <w:r w:rsidR="00E200F1">
          <w:rPr>
            <w:noProof/>
            <w:webHidden/>
          </w:rPr>
          <w:tab/>
        </w:r>
        <w:r w:rsidR="00E200F1">
          <w:rPr>
            <w:noProof/>
            <w:webHidden/>
          </w:rPr>
          <w:fldChar w:fldCharType="begin"/>
        </w:r>
        <w:r w:rsidR="00E200F1">
          <w:rPr>
            <w:noProof/>
            <w:webHidden/>
          </w:rPr>
          <w:instrText xml:space="preserve"> PAGEREF _Toc468980802 \h </w:instrText>
        </w:r>
        <w:r w:rsidR="00E200F1">
          <w:rPr>
            <w:noProof/>
            <w:webHidden/>
          </w:rPr>
        </w:r>
        <w:r w:rsidR="00E200F1">
          <w:rPr>
            <w:noProof/>
            <w:webHidden/>
          </w:rPr>
          <w:fldChar w:fldCharType="separate"/>
        </w:r>
        <w:r w:rsidR="00E200F1">
          <w:rPr>
            <w:noProof/>
            <w:webHidden/>
          </w:rPr>
          <w:t>5</w:t>
        </w:r>
        <w:r w:rsidR="00E200F1">
          <w:rPr>
            <w:noProof/>
            <w:webHidden/>
          </w:rPr>
          <w:fldChar w:fldCharType="end"/>
        </w:r>
      </w:hyperlink>
    </w:p>
    <w:p w:rsidR="00FF72BC" w:rsidRDefault="00FF72BC" w:rsidP="00E200F1">
      <w:r w:rsidRPr="000F0090">
        <w:fldChar w:fldCharType="end"/>
      </w:r>
    </w:p>
    <w:p w:rsidR="004839B4" w:rsidRDefault="004839B4" w:rsidP="00E200F1"/>
    <w:p w:rsidR="00FF72BC" w:rsidRDefault="00FF72BC" w:rsidP="00E200F1">
      <w:pPr>
        <w:pStyle w:val="Ttulo1"/>
        <w:spacing w:before="0"/>
      </w:pPr>
      <w:bookmarkStart w:id="0" w:name="_Toc468980792"/>
      <w:proofErr w:type="spellStart"/>
      <w:r>
        <w:t>Antececentes</w:t>
      </w:r>
      <w:bookmarkEnd w:id="0"/>
      <w:proofErr w:type="spellEnd"/>
    </w:p>
    <w:p w:rsidR="00FF72BC" w:rsidRDefault="00FF72BC" w:rsidP="00E200F1"/>
    <w:p w:rsidR="00FF72BC" w:rsidRDefault="00FF72BC" w:rsidP="00E200F1">
      <w:pPr>
        <w:jc w:val="both"/>
      </w:pPr>
      <w:r w:rsidRPr="00DC69AD">
        <w:t xml:space="preserve">En octubre de 2014, el Consejo Europeo acordó el marco de actuación de la UE en materia de clima y energía hasta 2030 estableciendo un ambicioso objetivo interno aplicable al conjunto de la economía de reducir en al menos el 40 % de las emisiones de gases de efecto invernadero para 2030. El Acuerdo de París confirma el enfoque de la UE. La aplicación del marco de actuación en materia de clima y energía hasta 2030 acordado por el Consejo Europeo es una prioridad en la actuación derivada del </w:t>
      </w:r>
      <w:r w:rsidRPr="00DC69AD">
        <w:rPr>
          <w:b/>
        </w:rPr>
        <w:t>Acuerdo de París</w:t>
      </w:r>
      <w:r w:rsidRPr="00DC69AD">
        <w:t>.</w:t>
      </w:r>
    </w:p>
    <w:p w:rsidR="00FF72BC" w:rsidRDefault="00FF72BC" w:rsidP="00E200F1">
      <w:pPr>
        <w:jc w:val="both"/>
      </w:pPr>
    </w:p>
    <w:p w:rsidR="00FF72BC" w:rsidRDefault="00FF72BC" w:rsidP="00E200F1">
      <w:pPr>
        <w:jc w:val="both"/>
      </w:pPr>
      <w:r w:rsidRPr="00DC69AD">
        <w:t xml:space="preserve">En 2015, presentó una propuesta para reformar el Régimen de Comercio de Derechos de Emisión (RCDE) a fin de garantizar que el sector energético y las industrias con alto consumo de energía lograran las reducciones de emisiones necesarias. En el verano de 2016, la Comisión presentó propuestas para acelerar la transición a una economía </w:t>
      </w:r>
      <w:proofErr w:type="spellStart"/>
      <w:r w:rsidRPr="00DC69AD">
        <w:t>hipocarbónica</w:t>
      </w:r>
      <w:proofErr w:type="spellEnd"/>
      <w:r w:rsidRPr="00DC69AD">
        <w:t xml:space="preserve"> en los demás sectores fundamentales de la economía europea. Las propuestas de hoy presentan los principales elementos restantes para una aplicación </w:t>
      </w:r>
      <w:r w:rsidRPr="00DC69AD">
        <w:lastRenderedPageBreak/>
        <w:t xml:space="preserve">plena del marco de actuación de la UE en materia de clima y energía hasta 2030, en particular en el ámbito de la </w:t>
      </w:r>
      <w:r w:rsidRPr="00DC69AD">
        <w:rPr>
          <w:b/>
        </w:rPr>
        <w:t>eficiencia energética</w:t>
      </w:r>
      <w:r w:rsidRPr="00DC69AD">
        <w:t xml:space="preserve"> y las </w:t>
      </w:r>
      <w:r w:rsidRPr="00DC69AD">
        <w:rPr>
          <w:b/>
        </w:rPr>
        <w:t>energías renovables</w:t>
      </w:r>
      <w:r>
        <w:rPr>
          <w:rStyle w:val="Refdenotaalpie"/>
        </w:rPr>
        <w:footnoteReference w:id="2"/>
      </w:r>
      <w:r w:rsidRPr="00DC69AD">
        <w:t>.</w:t>
      </w:r>
    </w:p>
    <w:p w:rsidR="00FF72BC" w:rsidRDefault="00FF72BC" w:rsidP="00E200F1">
      <w:pPr>
        <w:jc w:val="both"/>
      </w:pPr>
    </w:p>
    <w:p w:rsidR="00FF72BC" w:rsidRDefault="00FF72BC" w:rsidP="00E200F1">
      <w:pPr>
        <w:jc w:val="both"/>
        <w:rPr>
          <w:lang w:val="es-ES"/>
        </w:rPr>
      </w:pPr>
      <w:r w:rsidRPr="00757E1A">
        <w:rPr>
          <w:lang w:val="es-ES"/>
        </w:rPr>
        <w:t xml:space="preserve">Las propuestas legislativas abarcan la eficiencia energética, las energías renovables, el diseño del mercado de la electricidad, la seguridad del suministro y las normas de gobernanza de la Unión de la </w:t>
      </w:r>
      <w:r>
        <w:rPr>
          <w:lang w:val="es-ES"/>
        </w:rPr>
        <w:t>Energía.</w:t>
      </w:r>
    </w:p>
    <w:p w:rsidR="000E5D37" w:rsidRPr="00757E1A" w:rsidRDefault="000E5D37" w:rsidP="00E200F1">
      <w:pPr>
        <w:jc w:val="both"/>
        <w:rPr>
          <w:lang w:val="es-ES"/>
        </w:rPr>
      </w:pPr>
    </w:p>
    <w:p w:rsidR="00FF72BC" w:rsidRPr="00FF72BC" w:rsidRDefault="00FF72BC" w:rsidP="00E200F1">
      <w:pPr>
        <w:pStyle w:val="Ttulo1"/>
        <w:spacing w:before="0"/>
        <w:rPr>
          <w:lang w:val="es-ES"/>
        </w:rPr>
      </w:pPr>
      <w:bookmarkStart w:id="1" w:name="_Toc468980793"/>
      <w:r w:rsidRPr="00FF72BC">
        <w:rPr>
          <w:lang w:val="es-ES"/>
        </w:rPr>
        <w:t>Objetivos generales</w:t>
      </w:r>
      <w:bookmarkEnd w:id="1"/>
    </w:p>
    <w:p w:rsidR="00FF72BC" w:rsidRPr="00FF72BC" w:rsidRDefault="00FF72BC" w:rsidP="00E200F1">
      <w:pPr>
        <w:jc w:val="both"/>
        <w:rPr>
          <w:color w:val="FF0000"/>
          <w:lang w:val="es-ES"/>
        </w:rPr>
      </w:pPr>
    </w:p>
    <w:p w:rsidR="00FF72BC" w:rsidRPr="00757E1A" w:rsidRDefault="00FF72BC" w:rsidP="00E200F1">
      <w:pPr>
        <w:jc w:val="both"/>
        <w:rPr>
          <w:lang w:val="es-ES"/>
        </w:rPr>
      </w:pPr>
      <w:r w:rsidRPr="00757E1A">
        <w:rPr>
          <w:lang w:val="es-ES"/>
        </w:rPr>
        <w:t>El paquete presentado persigue tres objetivos principales:</w:t>
      </w:r>
    </w:p>
    <w:p w:rsidR="00FF72BC" w:rsidRPr="00757E1A" w:rsidRDefault="00FF72BC" w:rsidP="00E200F1">
      <w:pPr>
        <w:jc w:val="both"/>
        <w:rPr>
          <w:color w:val="FF0000"/>
          <w:lang w:val="es-ES"/>
        </w:rPr>
      </w:pPr>
    </w:p>
    <w:p w:rsidR="00FF72BC" w:rsidRPr="005A2B2A" w:rsidRDefault="00E200F1" w:rsidP="00E200F1">
      <w:pPr>
        <w:pStyle w:val="Ttulo2"/>
        <w:spacing w:before="0"/>
        <w:rPr>
          <w:color w:val="FF0000"/>
          <w:lang w:val="es-ES"/>
        </w:rPr>
      </w:pPr>
      <w:bookmarkStart w:id="2" w:name="_Toc468980794"/>
      <w:r>
        <w:rPr>
          <w:lang w:val="es-ES"/>
        </w:rPr>
        <w:t xml:space="preserve">1) </w:t>
      </w:r>
      <w:r w:rsidR="00FF72BC" w:rsidRPr="005A2B2A">
        <w:rPr>
          <w:lang w:val="es-ES"/>
        </w:rPr>
        <w:t>Priorizar la eficiencia energética</w:t>
      </w:r>
      <w:bookmarkEnd w:id="2"/>
    </w:p>
    <w:p w:rsidR="00FF72BC" w:rsidRPr="005A2B2A" w:rsidRDefault="00FF72BC" w:rsidP="00E200F1">
      <w:pPr>
        <w:jc w:val="both"/>
        <w:rPr>
          <w:color w:val="FF0000"/>
          <w:lang w:val="es-ES"/>
        </w:rPr>
      </w:pPr>
    </w:p>
    <w:p w:rsidR="00FF72BC" w:rsidRPr="00757E1A" w:rsidRDefault="00FF72BC" w:rsidP="00E200F1">
      <w:pPr>
        <w:jc w:val="both"/>
        <w:rPr>
          <w:lang w:val="es-ES"/>
        </w:rPr>
      </w:pPr>
      <w:r w:rsidRPr="00757E1A">
        <w:rPr>
          <w:lang w:val="es-ES"/>
        </w:rPr>
        <w:t xml:space="preserve">La Comisión propone extender más allá de 2020 las obligaciones de </w:t>
      </w:r>
      <w:r w:rsidRPr="0055690D">
        <w:rPr>
          <w:b/>
          <w:lang w:val="es-ES"/>
        </w:rPr>
        <w:t>ahorro energético</w:t>
      </w:r>
      <w:r w:rsidRPr="00757E1A">
        <w:rPr>
          <w:lang w:val="es-ES"/>
        </w:rPr>
        <w:t xml:space="preserve"> establecidas en la Directiva de eficiencia energética, que exige a los proveedores y distribuidores de energía ahorrar un 1,5% de energía al año.</w:t>
      </w:r>
    </w:p>
    <w:p w:rsidR="00FF72BC" w:rsidRPr="00757E1A" w:rsidRDefault="00FF72BC" w:rsidP="00E200F1">
      <w:pPr>
        <w:jc w:val="both"/>
        <w:rPr>
          <w:color w:val="FF0000"/>
          <w:lang w:val="es-ES"/>
        </w:rPr>
      </w:pPr>
    </w:p>
    <w:p w:rsidR="00FF72BC" w:rsidRPr="00757E1A" w:rsidRDefault="00FF72BC" w:rsidP="00E200F1">
      <w:pPr>
        <w:jc w:val="both"/>
        <w:rPr>
          <w:lang w:val="es-ES"/>
        </w:rPr>
      </w:pPr>
      <w:r w:rsidRPr="00757E1A">
        <w:rPr>
          <w:lang w:val="es-ES"/>
        </w:rPr>
        <w:t>La modificación de l</w:t>
      </w:r>
      <w:r>
        <w:rPr>
          <w:lang w:val="es-ES"/>
        </w:rPr>
        <w:t xml:space="preserve">a </w:t>
      </w:r>
      <w:hyperlink r:id="rId8" w:history="1">
        <w:r w:rsidRPr="00FB1D97">
          <w:rPr>
            <w:rStyle w:val="Hipervnculo"/>
            <w:lang w:val="es-ES"/>
          </w:rPr>
          <w:t xml:space="preserve">Directiva relativa a la </w:t>
        </w:r>
        <w:r w:rsidRPr="0055690D">
          <w:rPr>
            <w:rStyle w:val="Hipervnculo"/>
            <w:b/>
            <w:lang w:val="es-ES"/>
          </w:rPr>
          <w:t>eficiencia energética de los edificios</w:t>
        </w:r>
      </w:hyperlink>
      <w:r w:rsidRPr="00757E1A">
        <w:rPr>
          <w:lang w:val="es-ES"/>
        </w:rPr>
        <w:t xml:space="preserve"> acelerará las tarifas de renovación de edificios mediante el refuerzo de las disposiciones relativas a las estrategias de renovación de edificios a largo plazo, con vistas a la </w:t>
      </w:r>
      <w:proofErr w:type="spellStart"/>
      <w:r w:rsidRPr="00757E1A">
        <w:rPr>
          <w:lang w:val="es-ES"/>
        </w:rPr>
        <w:t>descarbonización</w:t>
      </w:r>
      <w:proofErr w:type="spellEnd"/>
      <w:r w:rsidRPr="00757E1A">
        <w:rPr>
          <w:lang w:val="es-ES"/>
        </w:rPr>
        <w:t xml:space="preserve"> de los edificios a mediados de siglo. La propuesta también mejorará la información de los promotores de proyectos y de los inversores reforzando los </w:t>
      </w:r>
      <w:r w:rsidRPr="0055690D">
        <w:rPr>
          <w:b/>
          <w:lang w:val="es-ES"/>
        </w:rPr>
        <w:t>certificados de rendimiento energético</w:t>
      </w:r>
      <w:r w:rsidRPr="00757E1A">
        <w:rPr>
          <w:lang w:val="es-ES"/>
        </w:rPr>
        <w:t>, facilitando información sobre el consumo energético operativo de los edificios públicos y vinculando la intensidad del apoyo público al nivel de ahorro energético conseguido.</w:t>
      </w:r>
    </w:p>
    <w:p w:rsidR="00FF72BC" w:rsidRPr="00757E1A" w:rsidRDefault="00FF72BC" w:rsidP="00E200F1">
      <w:pPr>
        <w:jc w:val="both"/>
        <w:rPr>
          <w:color w:val="FF0000"/>
          <w:lang w:val="es-ES"/>
        </w:rPr>
      </w:pPr>
    </w:p>
    <w:p w:rsidR="00FF72BC" w:rsidRPr="00757E1A" w:rsidRDefault="00FF72BC" w:rsidP="00E200F1">
      <w:pPr>
        <w:jc w:val="both"/>
        <w:rPr>
          <w:lang w:val="es-ES"/>
        </w:rPr>
      </w:pPr>
      <w:r w:rsidRPr="00757E1A">
        <w:rPr>
          <w:lang w:val="es-ES"/>
        </w:rPr>
        <w:t xml:space="preserve">Para apoyar la aplicación de la </w:t>
      </w:r>
      <w:hyperlink r:id="rId9" w:history="1">
        <w:r w:rsidR="00317BBD" w:rsidRPr="00317BBD">
          <w:rPr>
            <w:rStyle w:val="Hipervnculo"/>
            <w:lang w:val="es-ES"/>
          </w:rPr>
          <w:t>estrategia sobre la movilidad con bajas emisiones</w:t>
        </w:r>
      </w:hyperlink>
      <w:r w:rsidR="00317BBD" w:rsidRPr="00317BBD">
        <w:rPr>
          <w:lang w:val="es-ES"/>
        </w:rPr>
        <w:t xml:space="preserve"> </w:t>
      </w:r>
      <w:r w:rsidRPr="00757E1A">
        <w:rPr>
          <w:lang w:val="es-ES"/>
        </w:rPr>
        <w:t>y el uso creciente de la electricidad en el transporte, l</w:t>
      </w:r>
      <w:r>
        <w:rPr>
          <w:lang w:val="es-ES"/>
        </w:rPr>
        <w:t xml:space="preserve">a Directiva sobre la eficiencia energética en </w:t>
      </w:r>
      <w:r w:rsidRPr="00757E1A">
        <w:rPr>
          <w:lang w:val="es-ES"/>
        </w:rPr>
        <w:t xml:space="preserve">los edificios </w:t>
      </w:r>
      <w:r w:rsidRPr="00317BBD">
        <w:rPr>
          <w:b/>
          <w:lang w:val="es-ES"/>
        </w:rPr>
        <w:t>exigirá la instalación de puntos de recarga eléctrica.</w:t>
      </w:r>
      <w:r w:rsidRPr="00757E1A">
        <w:rPr>
          <w:lang w:val="es-ES"/>
        </w:rPr>
        <w:t xml:space="preserve"> Para los edificios existentes, esta disposición se aplicará sólo a los </w:t>
      </w:r>
      <w:r>
        <w:rPr>
          <w:lang w:val="es-ES"/>
        </w:rPr>
        <w:t xml:space="preserve">edificios </w:t>
      </w:r>
      <w:r w:rsidRPr="00757E1A">
        <w:rPr>
          <w:lang w:val="es-ES"/>
        </w:rPr>
        <w:t>comerciales con más de 10 plazas de estacionamiento a partir de 2025. Para los edificios nuevos o los edificios sometidos a renovaciones importantes, la disposición se aplicará a los edificios residenciales con más de 10 plazas de aparcamiento</w:t>
      </w:r>
      <w:r>
        <w:rPr>
          <w:lang w:val="es-ES"/>
        </w:rPr>
        <w:t xml:space="preserve"> en forma de una obligación de</w:t>
      </w:r>
      <w:r w:rsidRPr="00757E1A">
        <w:rPr>
          <w:lang w:val="es-ES"/>
        </w:rPr>
        <w:t xml:space="preserve"> incluir pre-cableado y al edificio comercial con más de 10 plazas de aparcamiento en las formas de una obligación de instalar puntos de recarga. Las PYME y las autoridades públicas pueden quedar excluidas del ámbito de aplicación, debido a que ya están cubiertas por la Directiva sobre combustibles alternativos, en la medida e</w:t>
      </w:r>
      <w:r>
        <w:rPr>
          <w:lang w:val="es-ES"/>
        </w:rPr>
        <w:t xml:space="preserve">n que sus puntos de carga </w:t>
      </w:r>
      <w:r w:rsidRPr="00757E1A">
        <w:rPr>
          <w:lang w:val="es-ES"/>
        </w:rPr>
        <w:t>sean públicamente accesibles.</w:t>
      </w:r>
    </w:p>
    <w:p w:rsidR="00FF72BC" w:rsidRPr="00757E1A" w:rsidRDefault="00FF72BC" w:rsidP="00E200F1">
      <w:pPr>
        <w:jc w:val="both"/>
        <w:rPr>
          <w:color w:val="FF0000"/>
          <w:lang w:val="es-ES"/>
        </w:rPr>
      </w:pPr>
    </w:p>
    <w:p w:rsidR="00FF72BC" w:rsidRPr="00757E1A" w:rsidRDefault="00D500EB" w:rsidP="00E200F1">
      <w:pPr>
        <w:jc w:val="both"/>
        <w:rPr>
          <w:lang w:val="es-ES"/>
        </w:rPr>
      </w:pPr>
      <w:hyperlink r:id="rId10" w:history="1">
        <w:r w:rsidR="00FF72BC" w:rsidRPr="00A1065F">
          <w:rPr>
            <w:rStyle w:val="Hipervnculo"/>
            <w:b/>
            <w:lang w:val="es-ES"/>
          </w:rPr>
          <w:t xml:space="preserve">Iniciativa </w:t>
        </w:r>
        <w:r w:rsidR="00A1065F" w:rsidRPr="00A1065F">
          <w:rPr>
            <w:rStyle w:val="Hipervnculo"/>
            <w:b/>
            <w:lang w:val="es-ES"/>
          </w:rPr>
          <w:t>Europea sobre Edificios</w:t>
        </w:r>
      </w:hyperlink>
      <w:r w:rsidR="00FF72BC">
        <w:rPr>
          <w:lang w:val="es-ES"/>
        </w:rPr>
        <w:t xml:space="preserve">, </w:t>
      </w:r>
      <w:r w:rsidR="00A1065F">
        <w:rPr>
          <w:lang w:val="es-ES"/>
        </w:rPr>
        <w:t xml:space="preserve">incluye </w:t>
      </w:r>
      <w:r w:rsidR="00FF72BC" w:rsidRPr="00757E1A">
        <w:rPr>
          <w:lang w:val="es-ES"/>
        </w:rPr>
        <w:t>"financiación inteligente para los edificios inteligentes". Esta nueva iniciativa, en estrecha cooperación con el Banco Europeo de Inversiones (BEI) y los Estados miembros, puede desbloquear otros 10.000 millones de euros de fondos públicos y privados hasta 2020 para la eficiencia energética y las energías renovables en edificios, ay</w:t>
      </w:r>
      <w:r w:rsidR="00FF72BC">
        <w:rPr>
          <w:lang w:val="es-ES"/>
        </w:rPr>
        <w:t xml:space="preserve">udar a desarrollar un “canal financiero” a gran escala </w:t>
      </w:r>
      <w:r w:rsidR="00FF72BC">
        <w:rPr>
          <w:lang w:val="es-ES"/>
        </w:rPr>
        <w:lastRenderedPageBreak/>
        <w:t>de</w:t>
      </w:r>
      <w:r w:rsidR="00FF72BC" w:rsidRPr="00757E1A">
        <w:rPr>
          <w:lang w:val="es-ES"/>
        </w:rPr>
        <w:t xml:space="preserve"> proyectos financiables y establecer una plataforma de eficiencia energética en cada Estado miembro.</w:t>
      </w:r>
    </w:p>
    <w:p w:rsidR="00FF72BC" w:rsidRPr="00757E1A" w:rsidRDefault="00FF72BC" w:rsidP="00E200F1">
      <w:pPr>
        <w:jc w:val="both"/>
        <w:rPr>
          <w:color w:val="FF0000"/>
          <w:lang w:val="es-ES"/>
        </w:rPr>
      </w:pPr>
    </w:p>
    <w:p w:rsidR="00FF72BC" w:rsidRPr="00757E1A" w:rsidRDefault="00FF72BC" w:rsidP="00E200F1">
      <w:pPr>
        <w:jc w:val="both"/>
        <w:rPr>
          <w:lang w:val="es-ES"/>
        </w:rPr>
      </w:pPr>
      <w:r>
        <w:rPr>
          <w:lang w:val="es-ES"/>
        </w:rPr>
        <w:t xml:space="preserve">El </w:t>
      </w:r>
      <w:hyperlink r:id="rId11" w:history="1">
        <w:proofErr w:type="spellStart"/>
        <w:r w:rsidRPr="00A1065F">
          <w:rPr>
            <w:rStyle w:val="Hipervnculo"/>
            <w:b/>
            <w:lang w:val="es-ES"/>
          </w:rPr>
          <w:t>ecodiseño</w:t>
        </w:r>
        <w:proofErr w:type="spellEnd"/>
        <w:r w:rsidRPr="00A1065F">
          <w:rPr>
            <w:rStyle w:val="Hipervnculo"/>
            <w:b/>
            <w:lang w:val="es-ES"/>
          </w:rPr>
          <w:t xml:space="preserve"> y el etiquetado energético</w:t>
        </w:r>
      </w:hyperlink>
      <w:r w:rsidRPr="00757E1A">
        <w:rPr>
          <w:lang w:val="es-ES"/>
        </w:rPr>
        <w:t xml:space="preserve"> seguirán desempeñando un papel importante en la c</w:t>
      </w:r>
      <w:r>
        <w:rPr>
          <w:lang w:val="es-ES"/>
        </w:rPr>
        <w:t>onsecución de ahorro energético</w:t>
      </w:r>
      <w:r w:rsidRPr="00757E1A">
        <w:rPr>
          <w:lang w:val="es-ES"/>
        </w:rPr>
        <w:t xml:space="preserve"> y de recursos para los consumidores y en la creación de oportunidades de negocio para la industria europea. Tras un cuidadoso examen, la Comisión decidió reforzar el enfoque de la política sobre los productos con el mayor potencial de ahorro en términos de energía y economía circular. El Plan de trabajo sobre diseño ecológico</w:t>
      </w:r>
      <w:r>
        <w:rPr>
          <w:lang w:val="es-ES"/>
        </w:rPr>
        <w:t xml:space="preserve"> (</w:t>
      </w:r>
      <w:proofErr w:type="spellStart"/>
      <w:r w:rsidRPr="000E5D37">
        <w:rPr>
          <w:i/>
          <w:lang w:val="es-ES"/>
        </w:rPr>
        <w:t>Ecodesign</w:t>
      </w:r>
      <w:proofErr w:type="spellEnd"/>
      <w:r w:rsidRPr="000E5D37">
        <w:rPr>
          <w:i/>
          <w:lang w:val="es-ES"/>
        </w:rPr>
        <w:t xml:space="preserve"> </w:t>
      </w:r>
      <w:proofErr w:type="spellStart"/>
      <w:r w:rsidRPr="000E5D37">
        <w:rPr>
          <w:i/>
          <w:lang w:val="es-ES"/>
        </w:rPr>
        <w:t>Working</w:t>
      </w:r>
      <w:proofErr w:type="spellEnd"/>
      <w:r w:rsidRPr="000E5D37">
        <w:rPr>
          <w:i/>
          <w:lang w:val="es-ES"/>
        </w:rPr>
        <w:t xml:space="preserve"> Plan</w:t>
      </w:r>
      <w:r>
        <w:rPr>
          <w:lang w:val="es-ES"/>
        </w:rPr>
        <w:t>)</w:t>
      </w:r>
      <w:r w:rsidRPr="00757E1A">
        <w:rPr>
          <w:lang w:val="es-ES"/>
        </w:rPr>
        <w:t xml:space="preserve"> establece las prioridades de la Comisión para los próximos tres años, incluidas las revisiones de medidas específicas de productos existentes para mantenerlas al día con los nuevos avances tecnológicos, así como </w:t>
      </w:r>
      <w:r>
        <w:rPr>
          <w:lang w:val="es-ES"/>
        </w:rPr>
        <w:t xml:space="preserve">nuevas regulaciones sobre productos innovadores para aprovechar mejor su potencial. </w:t>
      </w:r>
    </w:p>
    <w:p w:rsidR="00FF72BC" w:rsidRPr="00757E1A" w:rsidRDefault="00FF72BC" w:rsidP="00E200F1">
      <w:pPr>
        <w:jc w:val="both"/>
        <w:rPr>
          <w:color w:val="FF0000"/>
          <w:lang w:val="es-ES"/>
        </w:rPr>
      </w:pPr>
    </w:p>
    <w:p w:rsidR="00FF72BC" w:rsidRPr="00757E1A" w:rsidRDefault="00E200F1" w:rsidP="00E200F1">
      <w:pPr>
        <w:pStyle w:val="Ttulo2"/>
        <w:spacing w:before="0"/>
        <w:rPr>
          <w:lang w:val="es-ES"/>
        </w:rPr>
      </w:pPr>
      <w:bookmarkStart w:id="3" w:name="_Toc468980795"/>
      <w:r>
        <w:rPr>
          <w:lang w:val="es-ES"/>
        </w:rPr>
        <w:t xml:space="preserve">2) </w:t>
      </w:r>
      <w:r w:rsidR="00FF72BC" w:rsidRPr="00757E1A">
        <w:rPr>
          <w:lang w:val="es-ES"/>
        </w:rPr>
        <w:t>Lograr el liderazgo mundial en energías renovables</w:t>
      </w:r>
      <w:bookmarkEnd w:id="3"/>
    </w:p>
    <w:p w:rsidR="00FF72BC" w:rsidRPr="00757E1A" w:rsidRDefault="00FF72BC" w:rsidP="00E200F1">
      <w:pPr>
        <w:jc w:val="both"/>
        <w:rPr>
          <w:color w:val="FF0000"/>
          <w:lang w:val="es-ES"/>
        </w:rPr>
      </w:pPr>
    </w:p>
    <w:p w:rsidR="00FF72BC" w:rsidRPr="002A196E" w:rsidRDefault="00FF72BC" w:rsidP="00E200F1">
      <w:pPr>
        <w:jc w:val="both"/>
        <w:rPr>
          <w:lang w:val="es-ES"/>
        </w:rPr>
      </w:pPr>
      <w:r w:rsidRPr="00757E1A">
        <w:rPr>
          <w:lang w:val="es-ES"/>
        </w:rPr>
        <w:t>El sector de las energías renovables en Europa</w:t>
      </w:r>
      <w:r>
        <w:rPr>
          <w:lang w:val="es-ES"/>
        </w:rPr>
        <w:t xml:space="preserve"> emplea </w:t>
      </w:r>
      <w:r w:rsidRPr="00757E1A">
        <w:rPr>
          <w:lang w:val="es-ES"/>
        </w:rPr>
        <w:t>a más de 1.100.000 personas, y Europa sigue siendo el líder mundial en energía eólica. El 43% de todos los aerogeneradores instalados en el mundo son producidos por unos pocos fabricantes europeos importantes. En Europa, los principales empleadores del sector de las e</w:t>
      </w:r>
      <w:r>
        <w:rPr>
          <w:lang w:val="es-ES"/>
        </w:rPr>
        <w:t>nergías renovables son la eólica</w:t>
      </w:r>
      <w:r w:rsidRPr="00757E1A">
        <w:rPr>
          <w:lang w:val="es-ES"/>
        </w:rPr>
        <w:t xml:space="preserve">, la energía solar fotovoltaica (PV) y las industrias de biomasa sólida. Sin embargo, la industria fotovoltaica </w:t>
      </w:r>
      <w:r>
        <w:rPr>
          <w:lang w:val="es-ES"/>
        </w:rPr>
        <w:t xml:space="preserve">ha experimentado </w:t>
      </w:r>
      <w:r w:rsidRPr="00757E1A">
        <w:rPr>
          <w:lang w:val="es-ES"/>
        </w:rPr>
        <w:t>pérdidas de empleo: el empleo en el sector fotovoltaico en 2014 fue algo más de un tercio del nivel de 2011 debido a la pérdida de capacida</w:t>
      </w:r>
      <w:r>
        <w:rPr>
          <w:lang w:val="es-ES"/>
        </w:rPr>
        <w:t>d de fabricación en el sector.</w:t>
      </w:r>
      <w:r w:rsidRPr="00757E1A">
        <w:rPr>
          <w:lang w:val="es-ES"/>
        </w:rPr>
        <w:t xml:space="preserve"> El sector d</w:t>
      </w:r>
      <w:r>
        <w:rPr>
          <w:lang w:val="es-ES"/>
        </w:rPr>
        <w:t>e la energía eólica representa la mayor parte de del empleo del sector de renovables en La UE</w:t>
      </w:r>
      <w:r w:rsidRPr="00757E1A">
        <w:rPr>
          <w:lang w:val="es-ES"/>
        </w:rPr>
        <w:t>. En el período comprendido entre 2005 y 2013, el volumen de negocios del sector de la energía eólica en Europa se ha multiplicado por ocho, con unos ingresos en la UE estimados en u</w:t>
      </w:r>
      <w:r>
        <w:rPr>
          <w:lang w:val="es-ES"/>
        </w:rPr>
        <w:t xml:space="preserve">nos 48.000 millones de euros. </w:t>
      </w:r>
      <w:r w:rsidRPr="00757E1A">
        <w:rPr>
          <w:lang w:val="es-ES"/>
        </w:rPr>
        <w:t>En el mismo período, el empleo de la energía eólica en la UE se ha quintuplicado</w:t>
      </w:r>
      <w:r>
        <w:rPr>
          <w:lang w:val="es-ES"/>
        </w:rPr>
        <w:t>.</w:t>
      </w:r>
      <w:r w:rsidRPr="00757E1A">
        <w:rPr>
          <w:lang w:val="es-ES"/>
        </w:rPr>
        <w:t xml:space="preserve"> </w:t>
      </w:r>
      <w:r w:rsidRPr="002A196E">
        <w:rPr>
          <w:lang w:val="es-ES"/>
        </w:rPr>
        <w:t>Entre 2005 y 2013, con un total de 320.000 empleos asociados en 2014.</w:t>
      </w:r>
    </w:p>
    <w:p w:rsidR="00FF72BC" w:rsidRPr="002A196E" w:rsidRDefault="00FF72BC" w:rsidP="00E200F1">
      <w:pPr>
        <w:jc w:val="both"/>
        <w:rPr>
          <w:color w:val="FF0000"/>
          <w:lang w:val="es-ES"/>
        </w:rPr>
      </w:pPr>
    </w:p>
    <w:p w:rsidR="00FF72BC" w:rsidRPr="00757E1A" w:rsidRDefault="00EC6F18" w:rsidP="00E200F1">
      <w:pPr>
        <w:jc w:val="both"/>
        <w:rPr>
          <w:lang w:val="es-ES"/>
        </w:rPr>
      </w:pPr>
      <w:r>
        <w:rPr>
          <w:lang w:val="es-ES"/>
        </w:rPr>
        <w:t>Hay que recordar que e</w:t>
      </w:r>
      <w:r w:rsidR="00FF72BC" w:rsidRPr="00757E1A">
        <w:rPr>
          <w:lang w:val="es-ES"/>
        </w:rPr>
        <w:t xml:space="preserve">l Consejo Europeo fijó un objetivo de al menos el 27% para la cuota de las energías renovables Consumido en la UE en 2030. Para 2030, la mitad de la electricidad europea </w:t>
      </w:r>
      <w:r w:rsidR="00FF72BC">
        <w:rPr>
          <w:lang w:val="es-ES"/>
        </w:rPr>
        <w:t xml:space="preserve">consumida </w:t>
      </w:r>
      <w:r w:rsidR="00FF72BC" w:rsidRPr="00757E1A">
        <w:rPr>
          <w:lang w:val="es-ES"/>
        </w:rPr>
        <w:t xml:space="preserve">debería </w:t>
      </w:r>
      <w:r w:rsidR="00FF72BC">
        <w:rPr>
          <w:lang w:val="es-ES"/>
        </w:rPr>
        <w:t>provenir de fuentes renovables.</w:t>
      </w:r>
    </w:p>
    <w:p w:rsidR="00FF72BC" w:rsidRPr="00757E1A" w:rsidRDefault="00FF72BC" w:rsidP="00E200F1">
      <w:pPr>
        <w:jc w:val="both"/>
        <w:rPr>
          <w:color w:val="FF0000"/>
          <w:lang w:val="es-ES"/>
        </w:rPr>
      </w:pPr>
    </w:p>
    <w:p w:rsidR="00FF72BC" w:rsidRPr="00757E1A" w:rsidRDefault="00FF72BC" w:rsidP="00E200F1">
      <w:pPr>
        <w:jc w:val="both"/>
        <w:rPr>
          <w:lang w:val="es-ES"/>
        </w:rPr>
      </w:pPr>
      <w:r w:rsidRPr="00757E1A">
        <w:rPr>
          <w:lang w:val="es-ES"/>
        </w:rPr>
        <w:t>La propuesta identifica seis áreas de acción clave:</w:t>
      </w:r>
    </w:p>
    <w:p w:rsidR="00FF72BC" w:rsidRPr="00757E1A" w:rsidRDefault="00FF72BC" w:rsidP="00E200F1">
      <w:pPr>
        <w:jc w:val="both"/>
        <w:rPr>
          <w:color w:val="FF0000"/>
          <w:lang w:val="es-ES"/>
        </w:rPr>
      </w:pPr>
    </w:p>
    <w:p w:rsidR="00FF72BC" w:rsidRPr="00757E1A" w:rsidRDefault="00E200F1" w:rsidP="00E200F1">
      <w:pPr>
        <w:pStyle w:val="Ttulo3"/>
        <w:spacing w:before="0"/>
        <w:rPr>
          <w:lang w:val="es-ES"/>
        </w:rPr>
      </w:pPr>
      <w:bookmarkStart w:id="4" w:name="_Toc468980796"/>
      <w:r>
        <w:rPr>
          <w:lang w:val="es-ES"/>
        </w:rPr>
        <w:t>2.1</w:t>
      </w:r>
      <w:r w:rsidR="00FF72BC" w:rsidRPr="00757E1A">
        <w:rPr>
          <w:lang w:val="es-ES"/>
        </w:rPr>
        <w:t>. Crear un marco propicio para el futuro despliegue de energías renovables en el Sector Eléctrico:</w:t>
      </w:r>
      <w:bookmarkEnd w:id="4"/>
    </w:p>
    <w:p w:rsidR="00FF72BC" w:rsidRPr="00757E1A" w:rsidRDefault="00FF72BC" w:rsidP="00E200F1">
      <w:pPr>
        <w:jc w:val="both"/>
        <w:rPr>
          <w:color w:val="FF0000"/>
          <w:lang w:val="es-ES"/>
        </w:rPr>
      </w:pPr>
    </w:p>
    <w:p w:rsidR="00FF72BC" w:rsidRPr="00C9041F" w:rsidRDefault="00FF72BC" w:rsidP="00E200F1">
      <w:pPr>
        <w:pStyle w:val="Prrafodelista"/>
        <w:numPr>
          <w:ilvl w:val="0"/>
          <w:numId w:val="6"/>
        </w:numPr>
        <w:jc w:val="both"/>
        <w:rPr>
          <w:lang w:val="es-ES"/>
        </w:rPr>
      </w:pPr>
      <w:r w:rsidRPr="00C9041F">
        <w:rPr>
          <w:lang w:val="es-ES"/>
        </w:rPr>
        <w:t>incluye los principios generales que deben seguir los Estados miembros al diseñar planes de apoyo. Aunque proporcionan visibilidad y certeza a los inversores, los planes de apoyo deben ser rentables y orientados al mercado.</w:t>
      </w:r>
    </w:p>
    <w:p w:rsidR="00FF72BC" w:rsidRPr="00C9041F" w:rsidRDefault="00FF72BC" w:rsidP="00E200F1">
      <w:pPr>
        <w:pStyle w:val="Prrafodelista"/>
        <w:numPr>
          <w:ilvl w:val="0"/>
          <w:numId w:val="6"/>
        </w:numPr>
        <w:jc w:val="both"/>
        <w:rPr>
          <w:lang w:val="es-ES"/>
        </w:rPr>
      </w:pPr>
      <w:r w:rsidRPr="00C9041F">
        <w:rPr>
          <w:lang w:val="es-ES"/>
        </w:rPr>
        <w:t xml:space="preserve">simplifica los procedimientos administrativos y refuerza la aceptación local de los proyectos a través de una ventanilla única y un plazo para el proceso de concesión de permisos de fuentes de energía renovables (similar al Reglamento </w:t>
      </w:r>
      <w:r w:rsidRPr="00C9041F">
        <w:rPr>
          <w:lang w:val="es-ES"/>
        </w:rPr>
        <w:lastRenderedPageBreak/>
        <w:t xml:space="preserve">RTE-E) y un sencillo procedimiento de notificación para facilitar el </w:t>
      </w:r>
      <w:proofErr w:type="spellStart"/>
      <w:r w:rsidRPr="00C9041F">
        <w:rPr>
          <w:lang w:val="es-ES"/>
        </w:rPr>
        <w:t>repotenciamiento</w:t>
      </w:r>
      <w:proofErr w:type="spellEnd"/>
      <w:r w:rsidRPr="00C9041F">
        <w:rPr>
          <w:lang w:val="es-ES"/>
        </w:rPr>
        <w:t xml:space="preserve"> de los proyectos</w:t>
      </w:r>
      <w:r w:rsidR="00C9041F" w:rsidRPr="00C9041F">
        <w:rPr>
          <w:lang w:val="es-ES"/>
        </w:rPr>
        <w:t xml:space="preserve"> de </w:t>
      </w:r>
      <w:r w:rsidRPr="00C9041F">
        <w:rPr>
          <w:lang w:val="es-ES"/>
        </w:rPr>
        <w:t>las plantas renovables existentes y los proyectos a pequeña escala.</w:t>
      </w:r>
    </w:p>
    <w:p w:rsidR="00FF72BC" w:rsidRPr="00757E1A" w:rsidRDefault="00FF72BC" w:rsidP="00E200F1">
      <w:pPr>
        <w:jc w:val="both"/>
        <w:rPr>
          <w:color w:val="FF0000"/>
          <w:lang w:val="es-ES"/>
        </w:rPr>
      </w:pPr>
    </w:p>
    <w:p w:rsidR="00FF72BC" w:rsidRPr="00757E1A" w:rsidRDefault="00E200F1" w:rsidP="00E200F1">
      <w:pPr>
        <w:pStyle w:val="Ttulo3"/>
        <w:spacing w:before="0"/>
        <w:rPr>
          <w:lang w:val="es-ES"/>
        </w:rPr>
      </w:pPr>
      <w:bookmarkStart w:id="5" w:name="_Toc468980797"/>
      <w:r>
        <w:rPr>
          <w:lang w:val="es-ES"/>
        </w:rPr>
        <w:t>2.2.</w:t>
      </w:r>
      <w:r w:rsidR="00FF72BC" w:rsidRPr="00757E1A">
        <w:rPr>
          <w:lang w:val="es-ES"/>
        </w:rPr>
        <w:t xml:space="preserve"> Incorporación de las energías renovables en el sector de calefacción y refrigeración:</w:t>
      </w:r>
      <w:bookmarkEnd w:id="5"/>
    </w:p>
    <w:p w:rsidR="00FF72BC" w:rsidRPr="00757E1A" w:rsidRDefault="00FF72BC" w:rsidP="00E200F1">
      <w:pPr>
        <w:pStyle w:val="Ttulo3"/>
        <w:spacing w:before="0"/>
        <w:rPr>
          <w:lang w:val="es-ES"/>
        </w:rPr>
      </w:pPr>
    </w:p>
    <w:p w:rsidR="00FF72BC" w:rsidRPr="00C9041F" w:rsidRDefault="00FF72BC" w:rsidP="00E200F1">
      <w:pPr>
        <w:pStyle w:val="Prrafodelista"/>
        <w:numPr>
          <w:ilvl w:val="0"/>
          <w:numId w:val="7"/>
        </w:numPr>
        <w:jc w:val="both"/>
        <w:rPr>
          <w:lang w:val="es-ES"/>
        </w:rPr>
      </w:pPr>
      <w:r w:rsidRPr="00C9041F">
        <w:rPr>
          <w:lang w:val="es-ES"/>
        </w:rPr>
        <w:t>ofrece a los Estados miembros opciones para aumentar su cuota de energía renovable en el suministro de calefacción y refrigeración, con el objetivo de aumentar la cuota de energía renovable en 1 punto porcentual por año en su oferta total hasta 2030</w:t>
      </w:r>
    </w:p>
    <w:p w:rsidR="00FF72BC" w:rsidRPr="00C9041F" w:rsidRDefault="00FF72BC" w:rsidP="00E200F1">
      <w:pPr>
        <w:pStyle w:val="Prrafodelista"/>
        <w:numPr>
          <w:ilvl w:val="0"/>
          <w:numId w:val="7"/>
        </w:numPr>
        <w:jc w:val="both"/>
        <w:rPr>
          <w:lang w:val="es-ES"/>
        </w:rPr>
      </w:pPr>
      <w:r w:rsidRPr="00C9041F">
        <w:rPr>
          <w:lang w:val="es-ES"/>
        </w:rPr>
        <w:t>abre los derechos de acceso a los sistemas locales de calefacción y refrigeración para los productores de energías renovables, bajo ciertas condiciones</w:t>
      </w:r>
    </w:p>
    <w:p w:rsidR="00FF72BC" w:rsidRPr="00757E1A" w:rsidRDefault="00FF72BC" w:rsidP="00E200F1">
      <w:pPr>
        <w:jc w:val="both"/>
        <w:rPr>
          <w:lang w:val="es-ES"/>
        </w:rPr>
      </w:pPr>
    </w:p>
    <w:p w:rsidR="00FF72BC" w:rsidRPr="00757E1A" w:rsidRDefault="00E200F1" w:rsidP="00E200F1">
      <w:pPr>
        <w:pStyle w:val="Ttulo3"/>
        <w:spacing w:before="0"/>
        <w:rPr>
          <w:lang w:val="es-ES"/>
        </w:rPr>
      </w:pPr>
      <w:bookmarkStart w:id="6" w:name="_Toc468980798"/>
      <w:r>
        <w:rPr>
          <w:lang w:val="es-ES"/>
        </w:rPr>
        <w:t>2.</w:t>
      </w:r>
      <w:r w:rsidR="00FF72BC" w:rsidRPr="00757E1A">
        <w:rPr>
          <w:lang w:val="es-ES"/>
        </w:rPr>
        <w:t xml:space="preserve">3. </w:t>
      </w:r>
      <w:proofErr w:type="spellStart"/>
      <w:r w:rsidR="00FF72BC" w:rsidRPr="00757E1A">
        <w:rPr>
          <w:lang w:val="es-ES"/>
        </w:rPr>
        <w:t>Descarbonizar</w:t>
      </w:r>
      <w:proofErr w:type="spellEnd"/>
      <w:r w:rsidR="00FF72BC" w:rsidRPr="00757E1A">
        <w:rPr>
          <w:lang w:val="es-ES"/>
        </w:rPr>
        <w:t xml:space="preserve"> y diversificar el sector del transporte:</w:t>
      </w:r>
      <w:bookmarkEnd w:id="6"/>
    </w:p>
    <w:p w:rsidR="00FF72BC" w:rsidRPr="00757E1A" w:rsidRDefault="00FF72BC" w:rsidP="00E200F1">
      <w:pPr>
        <w:jc w:val="both"/>
        <w:rPr>
          <w:lang w:val="es-ES"/>
        </w:rPr>
      </w:pPr>
    </w:p>
    <w:p w:rsidR="00FF72BC" w:rsidRPr="00DB1E60" w:rsidRDefault="00FF72BC" w:rsidP="00E200F1">
      <w:pPr>
        <w:pStyle w:val="Prrafodelista"/>
        <w:numPr>
          <w:ilvl w:val="0"/>
          <w:numId w:val="8"/>
        </w:numPr>
        <w:jc w:val="both"/>
        <w:rPr>
          <w:lang w:val="es-ES"/>
        </w:rPr>
      </w:pPr>
      <w:r w:rsidRPr="00DB1E60">
        <w:rPr>
          <w:lang w:val="es-ES"/>
        </w:rPr>
        <w:t xml:space="preserve">Introduce una obligación para los proveedores europeos de combustibles para el transporte de proporcionar una proporción cada vez mayor de combustibles renovables y bajos en carbono, incluidos biocombustibles avanzados, combustibles de transporte no renovables de origen no biológico (por ejemplo, hidrógeno), combustibles basados en residuos y electricidad renovable. El nivel de esta </w:t>
      </w:r>
      <w:r w:rsidR="00C9041F" w:rsidRPr="00DB1E60">
        <w:rPr>
          <w:lang w:val="es-ES"/>
        </w:rPr>
        <w:t>obligación aumenta</w:t>
      </w:r>
      <w:r w:rsidRPr="00DB1E60">
        <w:rPr>
          <w:lang w:val="es-ES"/>
        </w:rPr>
        <w:t xml:space="preserve"> progresivamente de 1,5% en 2021 (en energía) a 6,8% en 2030, incluyendo al menos el 3,6% de biocombustibles avanzados</w:t>
      </w:r>
    </w:p>
    <w:p w:rsidR="00FF72BC" w:rsidRPr="00DB1E60" w:rsidRDefault="00FF72BC" w:rsidP="00E200F1">
      <w:pPr>
        <w:pStyle w:val="Prrafodelista"/>
        <w:numPr>
          <w:ilvl w:val="0"/>
          <w:numId w:val="8"/>
        </w:numPr>
        <w:jc w:val="both"/>
        <w:rPr>
          <w:lang w:val="es-ES"/>
        </w:rPr>
      </w:pPr>
      <w:r w:rsidRPr="00DB1E60">
        <w:rPr>
          <w:lang w:val="es-ES"/>
        </w:rPr>
        <w:t>Para minimizar los efectos del cambio indirecto en el uso de la tierra (ILUC), se introduce un tope en la contribución de los biocombustibles alimentarios, en 7% en 2021 y bajando gradualmente a 3,8% en 2030</w:t>
      </w:r>
    </w:p>
    <w:p w:rsidR="00FF72BC" w:rsidRPr="00DB1E60" w:rsidRDefault="00FF72BC" w:rsidP="00E200F1">
      <w:pPr>
        <w:pStyle w:val="Prrafodelista"/>
        <w:numPr>
          <w:ilvl w:val="0"/>
          <w:numId w:val="8"/>
        </w:numPr>
        <w:jc w:val="both"/>
        <w:rPr>
          <w:lang w:val="es-ES"/>
        </w:rPr>
      </w:pPr>
      <w:r w:rsidRPr="00DB1E60">
        <w:rPr>
          <w:lang w:val="es-ES"/>
        </w:rPr>
        <w:t>Introduce bases de datos nacionales para garantizar la trazabilidad de los combustibles y mitigar el riesgo de fraude</w:t>
      </w:r>
    </w:p>
    <w:p w:rsidR="00FF72BC" w:rsidRPr="00757E1A" w:rsidRDefault="00FF72BC" w:rsidP="00E200F1">
      <w:pPr>
        <w:jc w:val="both"/>
        <w:rPr>
          <w:color w:val="FF0000"/>
          <w:lang w:val="es-ES"/>
        </w:rPr>
      </w:pPr>
    </w:p>
    <w:p w:rsidR="00FF72BC" w:rsidRPr="00757E1A" w:rsidRDefault="00E200F1" w:rsidP="00E200F1">
      <w:pPr>
        <w:pStyle w:val="Ttulo3"/>
        <w:spacing w:before="0"/>
        <w:rPr>
          <w:lang w:val="es-ES"/>
        </w:rPr>
      </w:pPr>
      <w:bookmarkStart w:id="7" w:name="_Toc468980799"/>
      <w:r>
        <w:rPr>
          <w:lang w:val="es-ES"/>
        </w:rPr>
        <w:t>2.</w:t>
      </w:r>
      <w:r w:rsidR="00FF72BC" w:rsidRPr="00757E1A">
        <w:rPr>
          <w:lang w:val="es-ES"/>
        </w:rPr>
        <w:t>4. Capacitar e informar a los consumidores.</w:t>
      </w:r>
      <w:bookmarkEnd w:id="7"/>
    </w:p>
    <w:p w:rsidR="00FF72BC" w:rsidRPr="00757E1A" w:rsidRDefault="00FF72BC" w:rsidP="00E200F1">
      <w:pPr>
        <w:jc w:val="both"/>
        <w:rPr>
          <w:lang w:val="es-ES"/>
        </w:rPr>
      </w:pPr>
    </w:p>
    <w:p w:rsidR="00FF72BC" w:rsidRPr="00DB1E60" w:rsidRDefault="00FF72BC" w:rsidP="00E200F1">
      <w:pPr>
        <w:pStyle w:val="Prrafodelista"/>
        <w:numPr>
          <w:ilvl w:val="0"/>
          <w:numId w:val="9"/>
        </w:numPr>
        <w:jc w:val="both"/>
        <w:rPr>
          <w:lang w:val="es-ES"/>
        </w:rPr>
      </w:pPr>
      <w:r w:rsidRPr="00DB1E60">
        <w:rPr>
          <w:lang w:val="es-ES"/>
        </w:rPr>
        <w:t xml:space="preserve">permite a los consumidores </w:t>
      </w:r>
      <w:proofErr w:type="spellStart"/>
      <w:r w:rsidRPr="00DB1E60">
        <w:rPr>
          <w:lang w:val="es-ES"/>
        </w:rPr>
        <w:t>autoconsumir</w:t>
      </w:r>
      <w:proofErr w:type="spellEnd"/>
      <w:r w:rsidRPr="00DB1E60">
        <w:rPr>
          <w:lang w:val="es-ES"/>
        </w:rPr>
        <w:t xml:space="preserve"> electricidad renovable sin enfrentarse a restricciones indebidas y asegurarse de que son remunerados por la electricidad que alimentan en la red</w:t>
      </w:r>
    </w:p>
    <w:p w:rsidR="00FF72BC" w:rsidRPr="00DB1E60" w:rsidRDefault="00FF72BC" w:rsidP="00E200F1">
      <w:pPr>
        <w:pStyle w:val="Prrafodelista"/>
        <w:numPr>
          <w:ilvl w:val="0"/>
          <w:numId w:val="9"/>
        </w:numPr>
        <w:jc w:val="both"/>
        <w:rPr>
          <w:lang w:val="es-ES"/>
        </w:rPr>
      </w:pPr>
      <w:r w:rsidRPr="00DB1E60">
        <w:rPr>
          <w:lang w:val="es-ES"/>
        </w:rPr>
        <w:t>reconoce a las comunidades energéticas y facilita su participación en el mercado</w:t>
      </w:r>
    </w:p>
    <w:p w:rsidR="00FF72BC" w:rsidRPr="00DB1E60" w:rsidRDefault="00FF72BC" w:rsidP="00E200F1">
      <w:pPr>
        <w:pStyle w:val="Prrafodelista"/>
        <w:numPr>
          <w:ilvl w:val="0"/>
          <w:numId w:val="9"/>
        </w:numPr>
        <w:jc w:val="both"/>
        <w:rPr>
          <w:lang w:val="es-ES"/>
        </w:rPr>
      </w:pPr>
      <w:r w:rsidRPr="00DB1E60">
        <w:rPr>
          <w:lang w:val="es-ES"/>
        </w:rPr>
        <w:t>proporciona información sobre el rendimiento energético y las fuentes de energía de los sistemas de calefacción y refrigeración urbana</w:t>
      </w:r>
    </w:p>
    <w:p w:rsidR="00FF72BC" w:rsidRPr="00DB1E60" w:rsidRDefault="00FF72BC" w:rsidP="00E200F1">
      <w:pPr>
        <w:pStyle w:val="Prrafodelista"/>
        <w:numPr>
          <w:ilvl w:val="0"/>
          <w:numId w:val="9"/>
        </w:numPr>
        <w:jc w:val="both"/>
        <w:rPr>
          <w:lang w:val="es-ES"/>
        </w:rPr>
      </w:pPr>
      <w:r w:rsidRPr="00DB1E60">
        <w:rPr>
          <w:lang w:val="es-ES"/>
        </w:rPr>
        <w:t>mejora la calidad de la información facilitada a los consumidores consolidando el funcionamiento del sistema de Garantías de Origen (</w:t>
      </w:r>
      <w:proofErr w:type="spellStart"/>
      <w:r w:rsidRPr="00DB1E60">
        <w:rPr>
          <w:lang w:val="es-ES"/>
        </w:rPr>
        <w:t>GOs</w:t>
      </w:r>
      <w:proofErr w:type="spellEnd"/>
      <w:r w:rsidRPr="00DB1E60">
        <w:rPr>
          <w:lang w:val="es-ES"/>
        </w:rPr>
        <w:t>)</w:t>
      </w:r>
    </w:p>
    <w:p w:rsidR="00FF72BC" w:rsidRPr="00757E1A" w:rsidRDefault="00FF72BC" w:rsidP="00E200F1">
      <w:pPr>
        <w:jc w:val="both"/>
        <w:rPr>
          <w:color w:val="FF0000"/>
          <w:lang w:val="es-ES"/>
        </w:rPr>
      </w:pPr>
    </w:p>
    <w:p w:rsidR="00FF72BC" w:rsidRPr="00757E1A" w:rsidRDefault="00E200F1" w:rsidP="00E200F1">
      <w:pPr>
        <w:pStyle w:val="Ttulo3"/>
        <w:spacing w:before="0"/>
        <w:rPr>
          <w:lang w:val="es-ES"/>
        </w:rPr>
      </w:pPr>
      <w:bookmarkStart w:id="8" w:name="_Toc468980800"/>
      <w:r>
        <w:rPr>
          <w:lang w:val="es-ES"/>
        </w:rPr>
        <w:t>2.</w:t>
      </w:r>
      <w:r w:rsidR="00FF72BC" w:rsidRPr="00757E1A">
        <w:rPr>
          <w:lang w:val="es-ES"/>
        </w:rPr>
        <w:t>5. Fortalecimiento de los criterios</w:t>
      </w:r>
      <w:r w:rsidR="00FF72BC">
        <w:rPr>
          <w:lang w:val="es-ES"/>
        </w:rPr>
        <w:t xml:space="preserve"> de sostenibilidad de la UE en el sector de</w:t>
      </w:r>
      <w:r w:rsidR="00FF72BC" w:rsidRPr="00757E1A">
        <w:rPr>
          <w:lang w:val="es-ES"/>
        </w:rPr>
        <w:t xml:space="preserve"> la bioenergía:</w:t>
      </w:r>
      <w:bookmarkEnd w:id="8"/>
    </w:p>
    <w:p w:rsidR="00FF72BC" w:rsidRPr="00757E1A" w:rsidRDefault="00FF72BC" w:rsidP="00E200F1">
      <w:pPr>
        <w:jc w:val="both"/>
        <w:rPr>
          <w:lang w:val="es-ES"/>
        </w:rPr>
      </w:pPr>
    </w:p>
    <w:p w:rsidR="00FF72BC" w:rsidRPr="00757E1A" w:rsidRDefault="00FF72BC" w:rsidP="00E200F1">
      <w:pPr>
        <w:jc w:val="both"/>
        <w:rPr>
          <w:lang w:val="es-ES"/>
        </w:rPr>
      </w:pPr>
      <w:r>
        <w:rPr>
          <w:lang w:val="es-ES"/>
        </w:rPr>
        <w:t xml:space="preserve">La propuesta de reforma </w:t>
      </w:r>
      <w:r w:rsidR="00DB1E60">
        <w:rPr>
          <w:lang w:val="es-ES"/>
        </w:rPr>
        <w:t>de la</w:t>
      </w:r>
      <w:r>
        <w:rPr>
          <w:lang w:val="es-ES"/>
        </w:rPr>
        <w:t xml:space="preserve"> Directiva </w:t>
      </w:r>
      <w:r w:rsidRPr="00757E1A">
        <w:rPr>
          <w:lang w:val="es-ES"/>
        </w:rPr>
        <w:t>sobre energía renovable refuerza los actuales criterios de la UE para la sostenibilidad de la bioenergía y los amplía para abarcar también la b</w:t>
      </w:r>
      <w:r>
        <w:rPr>
          <w:lang w:val="es-ES"/>
        </w:rPr>
        <w:t xml:space="preserve">iomasa y el biogás para </w:t>
      </w:r>
      <w:r w:rsidR="00064AC4">
        <w:rPr>
          <w:lang w:val="es-ES"/>
        </w:rPr>
        <w:t>la calefacción</w:t>
      </w:r>
      <w:r w:rsidRPr="00757E1A">
        <w:rPr>
          <w:lang w:val="es-ES"/>
        </w:rPr>
        <w:t xml:space="preserve"> y la electricidad. Más concretamente, la Directiva incluye los siguientes 4 nuevos requisitos:</w:t>
      </w:r>
    </w:p>
    <w:p w:rsidR="00FF72BC" w:rsidRPr="00757E1A" w:rsidRDefault="00FF72BC" w:rsidP="00E200F1">
      <w:pPr>
        <w:jc w:val="both"/>
        <w:rPr>
          <w:lang w:val="es-ES"/>
        </w:rPr>
      </w:pPr>
    </w:p>
    <w:p w:rsidR="00FF72BC" w:rsidRPr="00DB1E60" w:rsidRDefault="00FF72BC" w:rsidP="00E200F1">
      <w:pPr>
        <w:pStyle w:val="Prrafodelista"/>
        <w:numPr>
          <w:ilvl w:val="0"/>
          <w:numId w:val="10"/>
        </w:numPr>
        <w:jc w:val="both"/>
        <w:rPr>
          <w:lang w:val="es-ES"/>
        </w:rPr>
      </w:pPr>
      <w:r w:rsidRPr="00DB1E60">
        <w:rPr>
          <w:lang w:val="es-ES"/>
        </w:rPr>
        <w:t>Se mejoran los criterios de sostenibilidad para los biocombustibles, incluso exigiendo que (nuevos) biocombustibles avanzados emitan al menos un 70% menos de emisiones de GEI que los combustibles fósiles</w:t>
      </w:r>
    </w:p>
    <w:p w:rsidR="00FF72BC" w:rsidRPr="00DB1E60" w:rsidRDefault="00FF72BC" w:rsidP="00E200F1">
      <w:pPr>
        <w:pStyle w:val="Prrafodelista"/>
        <w:numPr>
          <w:ilvl w:val="0"/>
          <w:numId w:val="10"/>
        </w:numPr>
        <w:jc w:val="both"/>
        <w:rPr>
          <w:lang w:val="es-ES"/>
        </w:rPr>
      </w:pPr>
      <w:r w:rsidRPr="00DB1E60">
        <w:rPr>
          <w:lang w:val="es-ES"/>
        </w:rPr>
        <w:t>Se ha introducido un nuevo criterio de sostenibilidad sobre la biomasa forestal, con el fin de asegurar que la producción de leña sea sostenible y que las emisiones de LULUCF se contabilicen (en el país de producción de biomasa)</w:t>
      </w:r>
    </w:p>
    <w:p w:rsidR="00FF72BC" w:rsidRPr="00DB1E60" w:rsidRDefault="00FF72BC" w:rsidP="00E200F1">
      <w:pPr>
        <w:pStyle w:val="Prrafodelista"/>
        <w:numPr>
          <w:ilvl w:val="0"/>
          <w:numId w:val="10"/>
        </w:numPr>
        <w:jc w:val="both"/>
        <w:rPr>
          <w:lang w:val="es-ES"/>
        </w:rPr>
      </w:pPr>
      <w:r w:rsidRPr="00DB1E60">
        <w:rPr>
          <w:lang w:val="es-ES"/>
        </w:rPr>
        <w:t>Los criterios de sostenibilidad de la UE se amplían para cubrir la biomasa sólida y el biogás utilizados en grandes centrales termoeléctricas (más de 20 MW de capacidad de combustible). Esto significa, por ejemplo, que la electricidad y el calor procedentes de la biomasa deben producir al menos un 80% menos de emisiones de GEI en comparación con los combustibles fósiles en 2021 y un 85% menos para 2026.</w:t>
      </w:r>
    </w:p>
    <w:p w:rsidR="00FF72BC" w:rsidRPr="00DB1E60" w:rsidRDefault="00FF72BC" w:rsidP="00E200F1">
      <w:pPr>
        <w:pStyle w:val="Prrafodelista"/>
        <w:numPr>
          <w:ilvl w:val="0"/>
          <w:numId w:val="10"/>
        </w:numPr>
        <w:jc w:val="both"/>
        <w:rPr>
          <w:lang w:val="es-ES"/>
        </w:rPr>
      </w:pPr>
      <w:r w:rsidRPr="00DB1E60">
        <w:rPr>
          <w:lang w:val="es-ES"/>
        </w:rPr>
        <w:t>Las centrales eléctricas a gran escala de biomasa (por encima de 20 MW) deberán utilizar una tecnología combinada de calor y electricidad de alta eficiencia (alcanzando eficiencias superiores al 80%).</w:t>
      </w:r>
    </w:p>
    <w:p w:rsidR="00FF72BC" w:rsidRPr="00757E1A" w:rsidRDefault="00FF72BC" w:rsidP="00E200F1">
      <w:pPr>
        <w:jc w:val="both"/>
        <w:rPr>
          <w:color w:val="FF0000"/>
          <w:lang w:val="es-ES"/>
        </w:rPr>
      </w:pPr>
    </w:p>
    <w:p w:rsidR="00064AC4" w:rsidRDefault="00E200F1" w:rsidP="00E200F1">
      <w:pPr>
        <w:pStyle w:val="Ttulo3"/>
        <w:spacing w:before="0"/>
        <w:rPr>
          <w:lang w:val="es-ES"/>
        </w:rPr>
      </w:pPr>
      <w:bookmarkStart w:id="9" w:name="_Toc468980801"/>
      <w:r>
        <w:rPr>
          <w:lang w:val="es-ES"/>
        </w:rPr>
        <w:t>2.</w:t>
      </w:r>
      <w:r w:rsidR="00064AC4" w:rsidRPr="00064AC4">
        <w:rPr>
          <w:lang w:val="es-ES"/>
        </w:rPr>
        <w:t>6. Garantizar que el objetivo vinculante de la UE se alcance a tiempo y de manera rentable:</w:t>
      </w:r>
      <w:bookmarkEnd w:id="9"/>
      <w:r w:rsidR="00064AC4" w:rsidRPr="00064AC4">
        <w:rPr>
          <w:lang w:val="es-ES"/>
        </w:rPr>
        <w:t xml:space="preserve"> </w:t>
      </w:r>
    </w:p>
    <w:p w:rsidR="00064AC4" w:rsidRDefault="00064AC4" w:rsidP="00E200F1">
      <w:pPr>
        <w:jc w:val="both"/>
        <w:rPr>
          <w:color w:val="FF0000"/>
          <w:lang w:val="es-ES"/>
        </w:rPr>
      </w:pPr>
    </w:p>
    <w:p w:rsidR="00FF72BC" w:rsidRPr="00064AC4" w:rsidRDefault="00064AC4" w:rsidP="00E200F1">
      <w:pPr>
        <w:pStyle w:val="Prrafodelista"/>
        <w:numPr>
          <w:ilvl w:val="0"/>
          <w:numId w:val="11"/>
        </w:numPr>
        <w:jc w:val="both"/>
        <w:rPr>
          <w:color w:val="000000" w:themeColor="text1"/>
          <w:lang w:val="es-ES"/>
        </w:rPr>
      </w:pPr>
      <w:r w:rsidRPr="00064AC4">
        <w:rPr>
          <w:color w:val="000000" w:themeColor="text1"/>
          <w:lang w:val="es-ES"/>
        </w:rPr>
        <w:t>a partir de 2021, los Estados miembros no podrán reducir sus objetivos para 2020. La gobernanza de la Unión de la Energía introducirá medidas específicas para cerrar todas las posibles lagunas en el logro de la meta de las energías renovables. Esto se aplicará en caso de que los progresos hacia el objetivo del 27% sean insuficientes, tanto a nivel de los Estados miembros como a nivel de la UE.</w:t>
      </w:r>
    </w:p>
    <w:p w:rsidR="00064AC4" w:rsidRPr="00064AC4" w:rsidRDefault="00064AC4" w:rsidP="00E200F1">
      <w:pPr>
        <w:jc w:val="both"/>
        <w:rPr>
          <w:color w:val="FF0000"/>
          <w:lang w:val="es-ES"/>
        </w:rPr>
      </w:pPr>
    </w:p>
    <w:p w:rsidR="001654BA" w:rsidRPr="001654BA" w:rsidRDefault="00E200F1" w:rsidP="00E200F1">
      <w:pPr>
        <w:pStyle w:val="Ttulo2"/>
        <w:spacing w:before="0"/>
        <w:rPr>
          <w:lang w:val="es-ES"/>
        </w:rPr>
      </w:pPr>
      <w:bookmarkStart w:id="10" w:name="_Toc468980802"/>
      <w:r>
        <w:rPr>
          <w:lang w:val="es-ES"/>
        </w:rPr>
        <w:t xml:space="preserve">3) </w:t>
      </w:r>
      <w:r w:rsidR="001654BA" w:rsidRPr="001654BA">
        <w:rPr>
          <w:lang w:val="es-ES"/>
        </w:rPr>
        <w:t>Un marco más favorable para el consumidor</w:t>
      </w:r>
      <w:bookmarkEnd w:id="10"/>
    </w:p>
    <w:p w:rsidR="00FF72BC" w:rsidRPr="00E200F1" w:rsidRDefault="00FF72BC" w:rsidP="00E200F1">
      <w:pPr>
        <w:jc w:val="both"/>
        <w:rPr>
          <w:lang w:val="es-ES"/>
        </w:rPr>
      </w:pPr>
    </w:p>
    <w:p w:rsidR="00FF72BC" w:rsidRDefault="00064AC4" w:rsidP="00E200F1">
      <w:pPr>
        <w:jc w:val="both"/>
        <w:rPr>
          <w:lang w:val="es-ES"/>
        </w:rPr>
      </w:pPr>
      <w:r>
        <w:rPr>
          <w:lang w:val="es-ES"/>
        </w:rPr>
        <w:t>L</w:t>
      </w:r>
      <w:r w:rsidR="00FF72BC" w:rsidRPr="00757E1A">
        <w:rPr>
          <w:lang w:val="es-ES"/>
        </w:rPr>
        <w:t xml:space="preserve">os consumidores se beneficiarán de mayores derechos a </w:t>
      </w:r>
      <w:r>
        <w:rPr>
          <w:lang w:val="es-ES"/>
        </w:rPr>
        <w:t>(como ya se ha mencionado)</w:t>
      </w:r>
      <w:r w:rsidR="00FF72BC" w:rsidRPr="00757E1A">
        <w:rPr>
          <w:lang w:val="es-ES"/>
        </w:rPr>
        <w:t>:</w:t>
      </w:r>
    </w:p>
    <w:p w:rsidR="00064AC4" w:rsidRPr="00757E1A" w:rsidRDefault="00064AC4" w:rsidP="00E200F1">
      <w:pPr>
        <w:jc w:val="both"/>
        <w:rPr>
          <w:lang w:val="es-ES"/>
        </w:rPr>
      </w:pPr>
    </w:p>
    <w:p w:rsidR="00FF72BC" w:rsidRPr="00064AC4" w:rsidRDefault="00FF72BC" w:rsidP="00E200F1">
      <w:pPr>
        <w:pStyle w:val="Prrafodelista"/>
        <w:numPr>
          <w:ilvl w:val="0"/>
          <w:numId w:val="11"/>
        </w:numPr>
        <w:jc w:val="both"/>
        <w:rPr>
          <w:lang w:val="es-ES"/>
        </w:rPr>
      </w:pPr>
      <w:r w:rsidRPr="00064AC4">
        <w:rPr>
          <w:lang w:val="es-ES"/>
        </w:rPr>
        <w:t>generar su propia electricidad, e inyectar cualquier excedente en la red;</w:t>
      </w:r>
    </w:p>
    <w:p w:rsidR="00FF72BC" w:rsidRPr="00064AC4" w:rsidRDefault="00FF72BC" w:rsidP="00E200F1">
      <w:pPr>
        <w:pStyle w:val="Prrafodelista"/>
        <w:numPr>
          <w:ilvl w:val="0"/>
          <w:numId w:val="11"/>
        </w:numPr>
        <w:jc w:val="both"/>
        <w:rPr>
          <w:lang w:val="es-ES"/>
        </w:rPr>
      </w:pPr>
      <w:r w:rsidRPr="00064AC4">
        <w:rPr>
          <w:lang w:val="es-ES"/>
        </w:rPr>
        <w:t>organizar en energía renovable a las comunidades para la producción, el consumo, el almacenamiento y la venta de las fuentes de energía renovables;</w:t>
      </w:r>
    </w:p>
    <w:p w:rsidR="00FF72BC" w:rsidRPr="00064AC4" w:rsidRDefault="00FF72BC" w:rsidP="00E200F1">
      <w:pPr>
        <w:pStyle w:val="Prrafodelista"/>
        <w:numPr>
          <w:ilvl w:val="0"/>
          <w:numId w:val="11"/>
        </w:numPr>
        <w:jc w:val="both"/>
        <w:rPr>
          <w:lang w:val="es-ES"/>
        </w:rPr>
      </w:pPr>
      <w:r w:rsidRPr="00064AC4">
        <w:rPr>
          <w:lang w:val="es-ES"/>
        </w:rPr>
        <w:t>dejar de comprar de fuentes de calor y / o frío de un sistema de calefacción / refrigeración si se puede lograr un mejor rendimiento de energía por sí mismos.</w:t>
      </w:r>
    </w:p>
    <w:p w:rsidR="001654BA" w:rsidRDefault="001654BA" w:rsidP="00E200F1">
      <w:pPr>
        <w:jc w:val="both"/>
        <w:rPr>
          <w:lang w:val="es-ES"/>
        </w:rPr>
      </w:pPr>
    </w:p>
    <w:tbl>
      <w:tblPr>
        <w:tblStyle w:val="Tablaconcuadrcula"/>
        <w:tblW w:w="0" w:type="auto"/>
        <w:tblLook w:val="04A0" w:firstRow="1" w:lastRow="0" w:firstColumn="1" w:lastColumn="0" w:noHBand="0" w:noVBand="1"/>
      </w:tblPr>
      <w:tblGrid>
        <w:gridCol w:w="8494"/>
      </w:tblGrid>
      <w:tr w:rsidR="001654BA" w:rsidTr="001654BA">
        <w:tc>
          <w:tcPr>
            <w:tcW w:w="8494" w:type="dxa"/>
          </w:tcPr>
          <w:p w:rsidR="001654BA" w:rsidRDefault="001654BA" w:rsidP="00E200F1">
            <w:pPr>
              <w:jc w:val="both"/>
              <w:rPr>
                <w:lang w:val="es-ES"/>
              </w:rPr>
            </w:pPr>
          </w:p>
          <w:p w:rsidR="001654BA" w:rsidRPr="000E5D37" w:rsidRDefault="001654BA" w:rsidP="00E200F1">
            <w:pPr>
              <w:jc w:val="both"/>
              <w:rPr>
                <w:b/>
                <w:lang w:val="es-ES"/>
              </w:rPr>
            </w:pPr>
            <w:r w:rsidRPr="000E5D37">
              <w:rPr>
                <w:b/>
                <w:lang w:val="es-ES"/>
              </w:rPr>
              <w:t>Véase información completa en:</w:t>
            </w:r>
          </w:p>
          <w:p w:rsidR="001654BA" w:rsidRDefault="001654BA" w:rsidP="00E200F1">
            <w:pPr>
              <w:jc w:val="both"/>
              <w:rPr>
                <w:lang w:val="es-ES"/>
              </w:rPr>
            </w:pPr>
          </w:p>
          <w:p w:rsidR="001654BA" w:rsidRDefault="002A196E" w:rsidP="00E200F1">
            <w:pPr>
              <w:pStyle w:val="Prrafodelista"/>
              <w:numPr>
                <w:ilvl w:val="0"/>
                <w:numId w:val="12"/>
              </w:numPr>
            </w:pPr>
            <w:hyperlink r:id="rId12" w:history="1">
              <w:r w:rsidRPr="00C72E94">
                <w:rPr>
                  <w:rStyle w:val="Hipervnculo"/>
                </w:rPr>
                <w:t>https://ec.europa.eu/energy/en/news/commission-proposes-new-rules-consumer-centred-clean-energy-transition</w:t>
              </w:r>
            </w:hyperlink>
            <w:r>
              <w:t xml:space="preserve"> </w:t>
            </w:r>
          </w:p>
          <w:p w:rsidR="002A196E" w:rsidRPr="001654BA" w:rsidRDefault="002A196E" w:rsidP="002A196E">
            <w:pPr>
              <w:pStyle w:val="Prrafodelista"/>
              <w:numPr>
                <w:ilvl w:val="0"/>
                <w:numId w:val="12"/>
              </w:numPr>
            </w:pPr>
            <w:hyperlink r:id="rId13" w:history="1">
              <w:r w:rsidRPr="00C72E94">
                <w:rPr>
                  <w:rStyle w:val="Hipervnculo"/>
                </w:rPr>
                <w:t>http://ec.europa.eu/energy/sites/ener/files/documents/com_860_final.pdf</w:t>
              </w:r>
            </w:hyperlink>
            <w:r>
              <w:t xml:space="preserve"> </w:t>
            </w:r>
            <w:bookmarkStart w:id="11" w:name="_GoBack"/>
            <w:bookmarkEnd w:id="11"/>
          </w:p>
        </w:tc>
      </w:tr>
    </w:tbl>
    <w:p w:rsidR="001654BA" w:rsidRDefault="001654BA" w:rsidP="00E200F1">
      <w:pPr>
        <w:jc w:val="both"/>
        <w:rPr>
          <w:lang w:val="es-ES"/>
        </w:rPr>
      </w:pPr>
    </w:p>
    <w:p w:rsidR="001654BA" w:rsidRPr="001654BA" w:rsidRDefault="001654BA" w:rsidP="00E200F1">
      <w:pPr>
        <w:jc w:val="both"/>
      </w:pPr>
    </w:p>
    <w:sectPr w:rsidR="001654BA" w:rsidRPr="001654BA">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EB" w:rsidRDefault="00D500EB" w:rsidP="00FF72BC">
      <w:r>
        <w:separator/>
      </w:r>
    </w:p>
  </w:endnote>
  <w:endnote w:type="continuationSeparator" w:id="0">
    <w:p w:rsidR="00D500EB" w:rsidRDefault="00D500EB" w:rsidP="00FF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944"/>
      <w:docPartObj>
        <w:docPartGallery w:val="Page Numbers (Bottom of Page)"/>
        <w:docPartUnique/>
      </w:docPartObj>
    </w:sdtPr>
    <w:sdtEndPr/>
    <w:sdtContent>
      <w:p w:rsidR="004839B4" w:rsidRDefault="004839B4">
        <w:pPr>
          <w:pStyle w:val="Piedepgina"/>
          <w:jc w:val="right"/>
        </w:pPr>
        <w:r>
          <w:fldChar w:fldCharType="begin"/>
        </w:r>
        <w:r>
          <w:instrText>PAGE   \* MERGEFORMAT</w:instrText>
        </w:r>
        <w:r>
          <w:fldChar w:fldCharType="separate"/>
        </w:r>
        <w:r w:rsidR="002A196E" w:rsidRPr="002A196E">
          <w:rPr>
            <w:noProof/>
            <w:lang w:val="es-ES"/>
          </w:rPr>
          <w:t>5</w:t>
        </w:r>
        <w:r>
          <w:fldChar w:fldCharType="end"/>
        </w:r>
      </w:p>
    </w:sdtContent>
  </w:sdt>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2A196E" w:rsidRPr="00680B7E" w:rsidTr="002845E1">
      <w:trPr>
        <w:jc w:val="center"/>
      </w:trPr>
      <w:tc>
        <w:tcPr>
          <w:tcW w:w="2881" w:type="dxa"/>
          <w:vAlign w:val="bottom"/>
        </w:tcPr>
        <w:p w:rsidR="002A196E" w:rsidRPr="00DC69AD" w:rsidRDefault="002A196E" w:rsidP="002A196E">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rsidR="002A196E" w:rsidRPr="00DC69AD" w:rsidRDefault="002A196E" w:rsidP="002A196E">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2A196E" w:rsidRPr="002802E5" w:rsidRDefault="002A196E" w:rsidP="002A196E">
          <w:pPr>
            <w:pStyle w:val="Piedepgina"/>
            <w:jc w:val="center"/>
            <w:rPr>
              <w:b/>
              <w:i/>
              <w:sz w:val="18"/>
              <w:szCs w:val="18"/>
            </w:rPr>
          </w:pPr>
          <w:r w:rsidRPr="002802E5">
            <w:rPr>
              <w:b/>
              <w:i/>
              <w:noProof/>
              <w:sz w:val="18"/>
              <w:szCs w:val="18"/>
              <w:lang w:val="es-ES" w:eastAsia="es-ES"/>
            </w:rPr>
            <w:drawing>
              <wp:inline distT="0" distB="0" distL="0" distR="0" wp14:anchorId="31BAA0DE" wp14:editId="5FBA2F0D">
                <wp:extent cx="951124" cy="261295"/>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2A196E" w:rsidRPr="00DC69AD" w:rsidRDefault="002A196E" w:rsidP="002A196E">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2A196E" w:rsidRPr="002802E5" w:rsidRDefault="002A196E" w:rsidP="002A196E">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rsidR="00DC69AD" w:rsidRPr="002A196E" w:rsidRDefault="00D500EB" w:rsidP="00DC69AD">
    <w:pPr>
      <w:pStyle w:val="Piedepgina"/>
      <w:jc w:val="cen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EB" w:rsidRDefault="00D500EB" w:rsidP="00FF72BC">
      <w:r>
        <w:separator/>
      </w:r>
    </w:p>
  </w:footnote>
  <w:footnote w:type="continuationSeparator" w:id="0">
    <w:p w:rsidR="00D500EB" w:rsidRDefault="00D500EB" w:rsidP="00FF72BC">
      <w:r>
        <w:continuationSeparator/>
      </w:r>
    </w:p>
  </w:footnote>
  <w:footnote w:id="1">
    <w:p w:rsidR="00817DB6" w:rsidRPr="00817DB6" w:rsidRDefault="00817DB6" w:rsidP="00F24217">
      <w:pPr>
        <w:pStyle w:val="Textonotapie"/>
        <w:jc w:val="both"/>
        <w:rPr>
          <w:lang w:val="es-ES"/>
        </w:rPr>
      </w:pPr>
      <w:r>
        <w:rPr>
          <w:rStyle w:val="Refdenotaalpie"/>
        </w:rPr>
        <w:footnoteRef/>
      </w:r>
      <w:r>
        <w:t xml:space="preserve"> </w:t>
      </w:r>
      <w:r>
        <w:rPr>
          <w:lang w:val="es-ES"/>
        </w:rPr>
        <w:t>Este documento es un resumen del “paquete energía” presentado por la Comisión, cuyo contenido original está sólo en inglés. Las traducciones se han realizado por la Delegación</w:t>
      </w:r>
      <w:r w:rsidR="00F24217">
        <w:rPr>
          <w:lang w:val="es-ES"/>
        </w:rPr>
        <w:t xml:space="preserve"> en Bruselas.</w:t>
      </w:r>
      <w:r>
        <w:rPr>
          <w:lang w:val="es-ES"/>
        </w:rPr>
        <w:t xml:space="preserve"> El único texto oficial es aquel que se encuentra en la web de la Comisión (véase links al final del documento). </w:t>
      </w:r>
    </w:p>
  </w:footnote>
  <w:footnote w:id="2">
    <w:p w:rsidR="00FF72BC" w:rsidRDefault="00FF72BC" w:rsidP="00FF72BC">
      <w:pPr>
        <w:pStyle w:val="Textonotapie"/>
      </w:pPr>
      <w:r>
        <w:rPr>
          <w:rStyle w:val="Refdenotaalpie"/>
        </w:rPr>
        <w:footnoteRef/>
      </w:r>
      <w:r>
        <w:t xml:space="preserve"> </w:t>
      </w:r>
      <w:r w:rsidRPr="00DC69AD">
        <w:t>http://europa.eu/rapid/press-release_IP-16-4009_es.htm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37" w:rsidRDefault="000E5D37" w:rsidP="000E5D37">
    <w:pPr>
      <w:pStyle w:val="Encabezado"/>
      <w:jc w:val="right"/>
    </w:pPr>
    <w:r w:rsidRPr="000E5D37">
      <w:rPr>
        <w:noProof/>
        <w:lang w:val="es-ES" w:eastAsia="es-ES"/>
      </w:rPr>
      <w:drawing>
        <wp:inline distT="0" distB="0" distL="0" distR="0">
          <wp:extent cx="352425" cy="352425"/>
          <wp:effectExtent l="0" t="0" r="9525" b="9525"/>
          <wp:docPr id="2" name="Imagen 2" descr="C:\Users\mirujo\Pictures\Logo GOB NA B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ujo\Pictures\Logo GOB NA B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DAA"/>
    <w:multiLevelType w:val="hybridMultilevel"/>
    <w:tmpl w:val="389C0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163961"/>
    <w:multiLevelType w:val="hybridMultilevel"/>
    <w:tmpl w:val="112C4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CE3F55"/>
    <w:multiLevelType w:val="hybridMultilevel"/>
    <w:tmpl w:val="A4D89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143BA3"/>
    <w:multiLevelType w:val="hybridMultilevel"/>
    <w:tmpl w:val="4ECC5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293362"/>
    <w:multiLevelType w:val="hybridMultilevel"/>
    <w:tmpl w:val="EC622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374C2F"/>
    <w:multiLevelType w:val="hybridMultilevel"/>
    <w:tmpl w:val="EFEA9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1015EB"/>
    <w:multiLevelType w:val="hybridMultilevel"/>
    <w:tmpl w:val="FFECB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586753"/>
    <w:multiLevelType w:val="hybridMultilevel"/>
    <w:tmpl w:val="7590B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A442A"/>
    <w:multiLevelType w:val="hybridMultilevel"/>
    <w:tmpl w:val="77F44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367726"/>
    <w:multiLevelType w:val="hybridMultilevel"/>
    <w:tmpl w:val="A37EB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6C4249"/>
    <w:multiLevelType w:val="hybridMultilevel"/>
    <w:tmpl w:val="654EC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8C3AF1"/>
    <w:multiLevelType w:val="hybridMultilevel"/>
    <w:tmpl w:val="001CA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11"/>
  </w:num>
  <w:num w:numId="6">
    <w:abstractNumId w:val="8"/>
  </w:num>
  <w:num w:numId="7">
    <w:abstractNumId w:val="9"/>
  </w:num>
  <w:num w:numId="8">
    <w:abstractNumId w:val="0"/>
  </w:num>
  <w:num w:numId="9">
    <w:abstractNumId w:val="7"/>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17"/>
    <w:rsid w:val="00064AC4"/>
    <w:rsid w:val="000E5D37"/>
    <w:rsid w:val="001654BA"/>
    <w:rsid w:val="00270D5C"/>
    <w:rsid w:val="00273DA7"/>
    <w:rsid w:val="002A196E"/>
    <w:rsid w:val="00317BBD"/>
    <w:rsid w:val="004839B4"/>
    <w:rsid w:val="0055690D"/>
    <w:rsid w:val="005A56AB"/>
    <w:rsid w:val="005D5600"/>
    <w:rsid w:val="00625525"/>
    <w:rsid w:val="00660D48"/>
    <w:rsid w:val="00663BE0"/>
    <w:rsid w:val="00753868"/>
    <w:rsid w:val="00817DB6"/>
    <w:rsid w:val="00880825"/>
    <w:rsid w:val="00A1065F"/>
    <w:rsid w:val="00A81F17"/>
    <w:rsid w:val="00B33E0C"/>
    <w:rsid w:val="00BF7625"/>
    <w:rsid w:val="00C9041F"/>
    <w:rsid w:val="00D500EB"/>
    <w:rsid w:val="00DB1E60"/>
    <w:rsid w:val="00E200F1"/>
    <w:rsid w:val="00EC6F18"/>
    <w:rsid w:val="00F24217"/>
    <w:rsid w:val="00FB1D97"/>
    <w:rsid w:val="00FF7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EE70"/>
  <w15:chartTrackingRefBased/>
  <w15:docId w15:val="{CE88A42B-3BAC-4603-9C64-50D11AE5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2BC"/>
    <w:pPr>
      <w:spacing w:after="0" w:line="240" w:lineRule="auto"/>
    </w:pPr>
    <w:rPr>
      <w:sz w:val="24"/>
      <w:szCs w:val="24"/>
      <w:lang w:val="es-ES_tradnl"/>
    </w:rPr>
  </w:style>
  <w:style w:type="paragraph" w:styleId="Ttulo1">
    <w:name w:val="heading 1"/>
    <w:basedOn w:val="Normal"/>
    <w:next w:val="Normal"/>
    <w:link w:val="Ttulo1Car"/>
    <w:qFormat/>
    <w:rsid w:val="00FF72B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FB1D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C6F1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72BC"/>
    <w:rPr>
      <w:rFonts w:asciiTheme="majorHAnsi" w:eastAsiaTheme="majorEastAsia" w:hAnsiTheme="majorHAnsi" w:cstheme="majorBidi"/>
      <w:b/>
      <w:bCs/>
      <w:color w:val="2E74B5" w:themeColor="accent1" w:themeShade="BF"/>
      <w:sz w:val="28"/>
      <w:szCs w:val="28"/>
      <w:lang w:val="es-ES_tradnl"/>
    </w:rPr>
  </w:style>
  <w:style w:type="character" w:styleId="Hipervnculo">
    <w:name w:val="Hyperlink"/>
    <w:basedOn w:val="Fuentedeprrafopredeter"/>
    <w:uiPriority w:val="99"/>
    <w:unhideWhenUsed/>
    <w:rsid w:val="00FF72BC"/>
    <w:rPr>
      <w:color w:val="0563C1" w:themeColor="hyperlink"/>
      <w:u w:val="single"/>
    </w:rPr>
  </w:style>
  <w:style w:type="paragraph" w:styleId="TtuloTDC">
    <w:name w:val="TOC Heading"/>
    <w:basedOn w:val="Ttulo1"/>
    <w:next w:val="Normal"/>
    <w:uiPriority w:val="39"/>
    <w:semiHidden/>
    <w:unhideWhenUsed/>
    <w:qFormat/>
    <w:rsid w:val="00FF72BC"/>
    <w:pPr>
      <w:spacing w:line="276" w:lineRule="auto"/>
      <w:jc w:val="both"/>
      <w:outlineLvl w:val="9"/>
    </w:pPr>
    <w:rPr>
      <w:rFonts w:ascii="Cambria" w:eastAsia="Times New Roman" w:hAnsi="Cambria" w:cs="Times New Roman"/>
      <w:color w:val="365F91"/>
      <w:lang w:val="eu-ES"/>
    </w:rPr>
  </w:style>
  <w:style w:type="paragraph" w:styleId="TDC1">
    <w:name w:val="toc 1"/>
    <w:basedOn w:val="Normal"/>
    <w:next w:val="Normal"/>
    <w:autoRedefine/>
    <w:uiPriority w:val="39"/>
    <w:qFormat/>
    <w:rsid w:val="00FF72BC"/>
    <w:pPr>
      <w:tabs>
        <w:tab w:val="right" w:leader="dot" w:pos="8497"/>
      </w:tabs>
      <w:spacing w:before="120" w:after="120"/>
      <w:jc w:val="both"/>
    </w:pPr>
    <w:rPr>
      <w:rFonts w:ascii="Calibri" w:eastAsia="Times New Roman" w:hAnsi="Calibri" w:cs="Times New Roman"/>
      <w:b/>
      <w:bCs/>
      <w:caps/>
      <w:noProof/>
      <w:sz w:val="20"/>
      <w:lang w:val="eu-ES" w:eastAsia="eu-ES"/>
    </w:rPr>
  </w:style>
  <w:style w:type="paragraph" w:styleId="Piedepgina">
    <w:name w:val="footer"/>
    <w:basedOn w:val="Normal"/>
    <w:link w:val="PiedepginaCar"/>
    <w:uiPriority w:val="99"/>
    <w:rsid w:val="00FF72BC"/>
    <w:pPr>
      <w:tabs>
        <w:tab w:val="center" w:pos="4252"/>
        <w:tab w:val="right" w:pos="8504"/>
      </w:tabs>
    </w:pPr>
  </w:style>
  <w:style w:type="character" w:customStyle="1" w:styleId="PiedepginaCar">
    <w:name w:val="Pie de página Car"/>
    <w:basedOn w:val="Fuentedeprrafopredeter"/>
    <w:link w:val="Piedepgina"/>
    <w:uiPriority w:val="99"/>
    <w:rsid w:val="00FF72BC"/>
    <w:rPr>
      <w:sz w:val="24"/>
      <w:szCs w:val="24"/>
      <w:lang w:val="es-ES_tradnl"/>
    </w:rPr>
  </w:style>
  <w:style w:type="table" w:styleId="Tablaconcuadrcula">
    <w:name w:val="Table Grid"/>
    <w:basedOn w:val="Tablanormal"/>
    <w:uiPriority w:val="39"/>
    <w:rsid w:val="00FF72BC"/>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F72BC"/>
    <w:rPr>
      <w:sz w:val="20"/>
      <w:szCs w:val="20"/>
    </w:rPr>
  </w:style>
  <w:style w:type="character" w:customStyle="1" w:styleId="TextonotapieCar">
    <w:name w:val="Texto nota pie Car"/>
    <w:basedOn w:val="Fuentedeprrafopredeter"/>
    <w:link w:val="Textonotapie"/>
    <w:rsid w:val="00FF72BC"/>
    <w:rPr>
      <w:sz w:val="20"/>
      <w:szCs w:val="20"/>
      <w:lang w:val="es-ES_tradnl"/>
    </w:rPr>
  </w:style>
  <w:style w:type="character" w:styleId="Refdenotaalpie">
    <w:name w:val="footnote reference"/>
    <w:basedOn w:val="Fuentedeprrafopredeter"/>
    <w:rsid w:val="00FF72BC"/>
    <w:rPr>
      <w:vertAlign w:val="superscript"/>
    </w:rPr>
  </w:style>
  <w:style w:type="paragraph" w:styleId="Prrafodelista">
    <w:name w:val="List Paragraph"/>
    <w:basedOn w:val="Normal"/>
    <w:uiPriority w:val="34"/>
    <w:qFormat/>
    <w:rsid w:val="00FF72BC"/>
    <w:pPr>
      <w:ind w:left="720"/>
      <w:contextualSpacing/>
    </w:pPr>
  </w:style>
  <w:style w:type="paragraph" w:styleId="Subttulo">
    <w:name w:val="Subtitle"/>
    <w:basedOn w:val="Normal"/>
    <w:next w:val="Normal"/>
    <w:link w:val="SubttuloCar"/>
    <w:qFormat/>
    <w:rsid w:val="00FF72BC"/>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rsid w:val="00FF72BC"/>
    <w:rPr>
      <w:rFonts w:eastAsiaTheme="minorEastAsia"/>
      <w:color w:val="5A5A5A" w:themeColor="text1" w:themeTint="A5"/>
      <w:spacing w:val="15"/>
      <w:lang w:val="es-ES_tradnl"/>
    </w:rPr>
  </w:style>
  <w:style w:type="character" w:customStyle="1" w:styleId="Ttulo2Car">
    <w:name w:val="Título 2 Car"/>
    <w:basedOn w:val="Fuentedeprrafopredeter"/>
    <w:link w:val="Ttulo2"/>
    <w:uiPriority w:val="9"/>
    <w:rsid w:val="00FB1D97"/>
    <w:rPr>
      <w:rFonts w:asciiTheme="majorHAnsi" w:eastAsiaTheme="majorEastAsia" w:hAnsiTheme="majorHAnsi" w:cstheme="majorBidi"/>
      <w:color w:val="2E74B5" w:themeColor="accent1" w:themeShade="BF"/>
      <w:sz w:val="26"/>
      <w:szCs w:val="26"/>
      <w:lang w:val="es-ES_tradnl"/>
    </w:rPr>
  </w:style>
  <w:style w:type="paragraph" w:styleId="TDC2">
    <w:name w:val="toc 2"/>
    <w:basedOn w:val="Normal"/>
    <w:next w:val="Normal"/>
    <w:autoRedefine/>
    <w:uiPriority w:val="39"/>
    <w:unhideWhenUsed/>
    <w:rsid w:val="00625525"/>
    <w:pPr>
      <w:spacing w:after="100"/>
      <w:ind w:left="240"/>
    </w:pPr>
  </w:style>
  <w:style w:type="character" w:customStyle="1" w:styleId="Ttulo3Car">
    <w:name w:val="Título 3 Car"/>
    <w:basedOn w:val="Fuentedeprrafopredeter"/>
    <w:link w:val="Ttulo3"/>
    <w:uiPriority w:val="9"/>
    <w:rsid w:val="00EC6F18"/>
    <w:rPr>
      <w:rFonts w:asciiTheme="majorHAnsi" w:eastAsiaTheme="majorEastAsia" w:hAnsiTheme="majorHAnsi" w:cstheme="majorBidi"/>
      <w:color w:val="1F4D78" w:themeColor="accent1" w:themeShade="7F"/>
      <w:sz w:val="24"/>
      <w:szCs w:val="24"/>
      <w:lang w:val="es-ES_tradnl"/>
    </w:rPr>
  </w:style>
  <w:style w:type="paragraph" w:styleId="TDC3">
    <w:name w:val="toc 3"/>
    <w:basedOn w:val="Normal"/>
    <w:next w:val="Normal"/>
    <w:autoRedefine/>
    <w:uiPriority w:val="39"/>
    <w:unhideWhenUsed/>
    <w:rsid w:val="001654BA"/>
    <w:pPr>
      <w:spacing w:after="100"/>
      <w:ind w:left="480"/>
    </w:pPr>
  </w:style>
  <w:style w:type="paragraph" w:styleId="Encabezado">
    <w:name w:val="header"/>
    <w:basedOn w:val="Normal"/>
    <w:link w:val="EncabezadoCar"/>
    <w:uiPriority w:val="99"/>
    <w:unhideWhenUsed/>
    <w:rsid w:val="004839B4"/>
    <w:pPr>
      <w:tabs>
        <w:tab w:val="center" w:pos="4252"/>
        <w:tab w:val="right" w:pos="8504"/>
      </w:tabs>
    </w:pPr>
  </w:style>
  <w:style w:type="character" w:customStyle="1" w:styleId="EncabezadoCar">
    <w:name w:val="Encabezado Car"/>
    <w:basedOn w:val="Fuentedeprrafopredeter"/>
    <w:link w:val="Encabezado"/>
    <w:uiPriority w:val="99"/>
    <w:rsid w:val="004839B4"/>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S/TXT/?uri=URISERV%3Aen0021" TargetMode="External"/><Relationship Id="rId13" Type="http://schemas.openxmlformats.org/officeDocument/2006/relationships/hyperlink" Target="http://ec.europa.eu/energy/sites/ener/files/documents/com_860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nergy/en/news/commission-proposes-new-rules-consumer-centred-clean-energy-trans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ingle-market/european-standards/harmonised-standards/ecodesig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energy/en/topics/energy-efficiency/buildings" TargetMode="External"/><Relationship Id="rId4" Type="http://schemas.openxmlformats.org/officeDocument/2006/relationships/settings" Target="settings.xml"/><Relationship Id="rId9" Type="http://schemas.openxmlformats.org/officeDocument/2006/relationships/hyperlink" Target="http://europa.eu/rapid/press-release_IP-16-2545_es.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A5D6-98F6-4F81-A98E-AD69E7C4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2091</Words>
  <Characters>11506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IRUJO AMEZAGA, Mikel</dc:creator>
  <cp:keywords/>
  <dc:description/>
  <cp:lastModifiedBy>IRUJO AMEZAGA, Mikel</cp:lastModifiedBy>
  <cp:revision>10</cp:revision>
  <dcterms:created xsi:type="dcterms:W3CDTF">2016-12-08T15:58:00Z</dcterms:created>
  <dcterms:modified xsi:type="dcterms:W3CDTF">2016-12-08T16:44:00Z</dcterms:modified>
</cp:coreProperties>
</file>