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10173" w:type="dxa"/>
        <w:tblLook w:val="04A0" w:firstRow="1" w:lastRow="0" w:firstColumn="1" w:lastColumn="0" w:noHBand="0" w:noVBand="1"/>
      </w:tblPr>
      <w:tblGrid>
        <w:gridCol w:w="10173"/>
      </w:tblGrid>
      <w:tr w:rsidR="00F57B62" w:rsidRPr="00F57B62" w:rsidTr="00873206">
        <w:tc>
          <w:tcPr>
            <w:tcW w:w="10173" w:type="dxa"/>
          </w:tcPr>
          <w:p w:rsidR="00F57B62" w:rsidRPr="00E14DD4" w:rsidRDefault="00E14DD4" w:rsidP="00E14DD4">
            <w:pPr>
              <w:pBdr>
                <w:top w:val="single" w:sz="6" w:space="1" w:color="auto"/>
                <w:bottom w:val="single" w:sz="6" w:space="1" w:color="auto"/>
              </w:pBdr>
              <w:jc w:val="center"/>
              <w:rPr>
                <w:rFonts w:ascii="Calibri" w:eastAsia="Calibri" w:hAnsi="Calibri" w:cs="Times New Roman"/>
                <w:b/>
                <w:bCs/>
                <w:color w:val="4472C4"/>
                <w:sz w:val="36"/>
                <w:szCs w:val="36"/>
              </w:rPr>
            </w:pPr>
            <w:r>
              <w:rPr>
                <w:rFonts w:ascii="Calibri" w:eastAsia="Calibri" w:hAnsi="Calibri" w:cs="Times New Roman"/>
                <w:b/>
                <w:bCs/>
                <w:color w:val="4472C4"/>
                <w:sz w:val="36"/>
                <w:szCs w:val="36"/>
              </w:rPr>
              <w:t>R</w:t>
            </w:r>
            <w:r w:rsidRPr="00E14DD4">
              <w:rPr>
                <w:rFonts w:ascii="Calibri" w:eastAsia="Calibri" w:hAnsi="Calibri" w:cs="Times New Roman"/>
                <w:b/>
                <w:bCs/>
                <w:color w:val="4472C4"/>
                <w:sz w:val="36"/>
                <w:szCs w:val="36"/>
              </w:rPr>
              <w:t>ecuperación del calor residual de las instalaciones urbanas y reutilización para aumentar la eficiencia energética de distrito</w:t>
            </w:r>
            <w:r>
              <w:rPr>
                <w:rFonts w:ascii="Calibri" w:eastAsia="Calibri" w:hAnsi="Calibri" w:cs="Times New Roman"/>
                <w:b/>
                <w:bCs/>
                <w:color w:val="4472C4"/>
                <w:sz w:val="36"/>
                <w:szCs w:val="36"/>
              </w:rPr>
              <w:t xml:space="preserve">s o </w:t>
            </w:r>
            <w:r w:rsidRPr="00E14DD4">
              <w:rPr>
                <w:rFonts w:ascii="Calibri" w:eastAsia="Calibri" w:hAnsi="Calibri" w:cs="Times New Roman"/>
                <w:b/>
                <w:bCs/>
                <w:color w:val="4472C4"/>
                <w:sz w:val="36"/>
                <w:szCs w:val="36"/>
              </w:rPr>
              <w:t>calefacción individ</w:t>
            </w:r>
            <w:r>
              <w:rPr>
                <w:rFonts w:ascii="Calibri" w:eastAsia="Calibri" w:hAnsi="Calibri" w:cs="Times New Roman"/>
                <w:b/>
                <w:bCs/>
                <w:color w:val="4472C4"/>
                <w:sz w:val="36"/>
                <w:szCs w:val="36"/>
              </w:rPr>
              <w:t xml:space="preserve">ual y </w:t>
            </w:r>
            <w:r w:rsidRPr="00E14DD4">
              <w:rPr>
                <w:rFonts w:ascii="Calibri" w:eastAsia="Calibri" w:hAnsi="Calibri" w:cs="Times New Roman"/>
                <w:b/>
                <w:bCs/>
                <w:color w:val="4472C4"/>
                <w:sz w:val="36"/>
                <w:szCs w:val="36"/>
              </w:rPr>
              <w:t>sistemas de refrigeración</w:t>
            </w:r>
            <w:r w:rsidR="00F57B62" w:rsidRPr="00F57B62">
              <w:rPr>
                <w:rFonts w:ascii="Calibri" w:eastAsia="Calibri" w:hAnsi="Calibri" w:cs="Times New Roman"/>
                <w:b/>
                <w:color w:val="4472C4"/>
                <w:sz w:val="36"/>
                <w:szCs w:val="36"/>
              </w:rPr>
              <w:t>- FICHA TÉCNICA</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tbl>
      <w:tblPr>
        <w:tblStyle w:val="Cuadrculamedia1-nfasis11"/>
        <w:tblW w:w="10173" w:type="dxa"/>
        <w:tblLook w:val="04A0" w:firstRow="1" w:lastRow="0" w:firstColumn="1" w:lastColumn="0" w:noHBand="0" w:noVBand="1"/>
      </w:tblPr>
      <w:tblGrid>
        <w:gridCol w:w="1809"/>
        <w:gridCol w:w="8364"/>
      </w:tblGrid>
      <w:tr w:rsidR="00F57B62" w:rsidRPr="00F57B62" w:rsidTr="00873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 xml:space="preserve">Objeto de la </w:t>
            </w:r>
            <w:r>
              <w:rPr>
                <w:rFonts w:ascii="Calibri" w:eastAsia="Calibri" w:hAnsi="Calibri" w:cs="Times New Roman"/>
              </w:rPr>
              <w:t>s</w:t>
            </w:r>
            <w:r w:rsidRPr="00F57B62">
              <w:rPr>
                <w:rFonts w:ascii="Calibri" w:eastAsia="Calibri" w:hAnsi="Calibri" w:cs="Times New Roman"/>
              </w:rPr>
              <w:t>ubvención</w:t>
            </w:r>
          </w:p>
        </w:tc>
        <w:tc>
          <w:tcPr>
            <w:tcW w:w="8364" w:type="dxa"/>
          </w:tcPr>
          <w:p w:rsidR="00A6260D" w:rsidRPr="00A6260D" w:rsidRDefault="00A6260D" w:rsidP="00A6260D">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r w:rsidRPr="00A6260D">
              <w:rPr>
                <w:rFonts w:eastAsia="Calibri" w:cs="Times New Roman"/>
                <w:b w:val="0"/>
                <w:bCs w:val="0"/>
              </w:rPr>
              <w:t xml:space="preserve">Europa no recupera lo suficiente </w:t>
            </w:r>
            <w:r w:rsidR="008245EF">
              <w:rPr>
                <w:rFonts w:eastAsia="Calibri" w:cs="Times New Roman"/>
                <w:b w:val="0"/>
                <w:bCs w:val="0"/>
              </w:rPr>
              <w:t>la</w:t>
            </w:r>
            <w:r w:rsidRPr="00A6260D">
              <w:rPr>
                <w:rFonts w:eastAsia="Calibri" w:cs="Times New Roman"/>
                <w:b w:val="0"/>
                <w:bCs w:val="0"/>
              </w:rPr>
              <w:t xml:space="preserve"> energía de </w:t>
            </w:r>
            <w:r w:rsidR="008245EF">
              <w:rPr>
                <w:rFonts w:eastAsia="Calibri" w:cs="Times New Roman"/>
                <w:b w:val="0"/>
                <w:bCs w:val="0"/>
              </w:rPr>
              <w:t xml:space="preserve">los </w:t>
            </w:r>
            <w:r w:rsidRPr="00A6260D">
              <w:rPr>
                <w:rFonts w:eastAsia="Calibri" w:cs="Times New Roman"/>
                <w:b w:val="0"/>
                <w:bCs w:val="0"/>
              </w:rPr>
              <w:t xml:space="preserve">residuos. Una gran cantidad de calor residual se produce en zonas urbanas a partir de una variedad de fuentes locales (por ejemplo, de los metros, grandes edificios, extensos sistemas de ventilación) y de los residuos urbanos o sistemas de aguas residuales. </w:t>
            </w:r>
            <w:r w:rsidR="008245EF">
              <w:rPr>
                <w:rFonts w:eastAsia="Calibri" w:cs="Times New Roman"/>
                <w:b w:val="0"/>
                <w:bCs w:val="0"/>
              </w:rPr>
              <w:t>Todo ello puede</w:t>
            </w:r>
            <w:r w:rsidRPr="00A6260D">
              <w:rPr>
                <w:rFonts w:eastAsia="Calibri" w:cs="Times New Roman"/>
                <w:b w:val="0"/>
                <w:bCs w:val="0"/>
              </w:rPr>
              <w:t xml:space="preserve"> ser recuperado y reutilizado para la calefacción o refrigeración de edificios.</w:t>
            </w:r>
          </w:p>
          <w:p w:rsidR="00A6260D" w:rsidRPr="00A6260D" w:rsidRDefault="00A6260D" w:rsidP="00A6260D">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p>
          <w:p w:rsidR="00F57B62" w:rsidRPr="00385E62" w:rsidRDefault="00A6260D" w:rsidP="009E6395">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A6260D">
              <w:rPr>
                <w:rFonts w:eastAsia="Calibri" w:cs="Times New Roman"/>
                <w:b w:val="0"/>
                <w:bCs w:val="0"/>
              </w:rPr>
              <w:t>La energía térmica capturada puede ser suministrada a través de sistemas individuales de calefacción y refrigeración central o distribuido a través de redes de calefacción y refrigeración de distrito a múltiples edificios. En algunos casos, puede ser necesaria para combinar la recuperación de calor de desecho con diferentes tecnologías, (por ejemplo, bombas de calor) con el fin de llevar el nivel de temperatura del calor residual a los que coincida con el de calefacción existente</w:t>
            </w:r>
            <w:r w:rsidR="009E6395">
              <w:rPr>
                <w:rFonts w:eastAsia="Calibri" w:cs="Times New Roman"/>
                <w:b w:val="0"/>
                <w:bCs w:val="0"/>
              </w:rPr>
              <w:t>.</w:t>
            </w:r>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Plazos</w:t>
            </w:r>
          </w:p>
        </w:tc>
        <w:tc>
          <w:tcPr>
            <w:tcW w:w="8364" w:type="dxa"/>
          </w:tcPr>
          <w:p w:rsidR="00F57B62" w:rsidRPr="00F57B62" w:rsidRDefault="004148F8" w:rsidP="00F832D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Plazo de apertura: 26 de Julio de 2016 – Plazo de cierre: 19 de Enero de 2017.</w:t>
            </w:r>
          </w:p>
        </w:tc>
      </w:tr>
      <w:tr w:rsidR="00F57B62" w:rsidRPr="00F57B62" w:rsidTr="00873206">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Beneficiarios</w:t>
            </w:r>
          </w:p>
        </w:tc>
        <w:tc>
          <w:tcPr>
            <w:tcW w:w="8364" w:type="dxa"/>
          </w:tcPr>
          <w:p w:rsidR="00EE2A18" w:rsidRPr="00B556A7" w:rsidRDefault="0028646F" w:rsidP="00B556A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hyperlink r:id="rId7" w:history="1">
              <w:r w:rsidR="0065131B" w:rsidRPr="0065131B">
                <w:rPr>
                  <w:rStyle w:val="Hipervnculo"/>
                  <w:rFonts w:ascii="Calibri" w:eastAsia="Calibri" w:hAnsi="Calibri" w:cs="Times New Roman"/>
                </w:rPr>
                <w:t>Características de las empresas que pueden participar para beneficiarse de la financiación.</w:t>
              </w:r>
            </w:hyperlink>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Observaciones</w:t>
            </w:r>
          </w:p>
        </w:tc>
        <w:tc>
          <w:tcPr>
            <w:tcW w:w="8364" w:type="dxa"/>
          </w:tcPr>
          <w:p w:rsidR="00E26BC8" w:rsidRPr="00E26BC8" w:rsidRDefault="00E26BC8" w:rsidP="00E26BC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E26BC8">
              <w:rPr>
                <w:rFonts w:ascii="Calibri" w:eastAsia="Calibri" w:hAnsi="Calibri" w:cs="Times New Roman"/>
                <w:lang w:val="es-ES"/>
              </w:rPr>
              <w:t xml:space="preserve">Demostrar </w:t>
            </w:r>
            <w:r>
              <w:rPr>
                <w:rFonts w:ascii="Calibri" w:eastAsia="Calibri" w:hAnsi="Calibri" w:cs="Times New Roman"/>
                <w:lang w:val="es-ES"/>
              </w:rPr>
              <w:t xml:space="preserve">que el </w:t>
            </w:r>
            <w:r w:rsidRPr="00E26BC8">
              <w:rPr>
                <w:rFonts w:ascii="Calibri" w:eastAsia="Calibri" w:hAnsi="Calibri" w:cs="Times New Roman"/>
                <w:lang w:val="es-ES"/>
              </w:rPr>
              <w:t xml:space="preserve">calor residual y recuperación de calor de aguas residuales en las zonas urbanas, en las instalaciones del sector servicios y del sistema de transporte y su conexión e integración en la calefacción existente y los sistemas de suministro de refrigeración en los edificios / instalaciones o sistemas de calefacción / refrigeración urbanos. </w:t>
            </w:r>
            <w:r>
              <w:rPr>
                <w:rFonts w:ascii="Calibri" w:eastAsia="Calibri" w:hAnsi="Calibri" w:cs="Times New Roman"/>
                <w:lang w:val="es-ES"/>
              </w:rPr>
              <w:t>Se debe dar enfoque</w:t>
            </w:r>
            <w:r w:rsidRPr="00E26BC8">
              <w:rPr>
                <w:rFonts w:ascii="Calibri" w:eastAsia="Calibri" w:hAnsi="Calibri" w:cs="Times New Roman"/>
                <w:lang w:val="es-ES"/>
              </w:rPr>
              <w:t xml:space="preserve"> a la </w:t>
            </w:r>
            <w:proofErr w:type="spellStart"/>
            <w:r w:rsidRPr="00E26BC8">
              <w:rPr>
                <w:rFonts w:ascii="Calibri" w:eastAsia="Calibri" w:hAnsi="Calibri" w:cs="Times New Roman"/>
                <w:lang w:val="es-ES"/>
              </w:rPr>
              <w:t>replicabilidad</w:t>
            </w:r>
            <w:proofErr w:type="spellEnd"/>
            <w:r w:rsidRPr="00E26BC8">
              <w:rPr>
                <w:rFonts w:ascii="Calibri" w:eastAsia="Calibri" w:hAnsi="Calibri" w:cs="Times New Roman"/>
                <w:lang w:val="es-ES"/>
              </w:rPr>
              <w:t>, la escalabilidad y modularidad que facilitan la aplicación y el despliegue rápido. Desarrollar modelos sostenibles de negocios y de organización, dirección y soluciones financieras para el despliegue de las soluciones tecnológicas propuestas en la UE, teniendo en cuenta el marco legislativo.</w:t>
            </w:r>
          </w:p>
          <w:p w:rsidR="00E26BC8" w:rsidRPr="00E26BC8" w:rsidRDefault="00E26BC8" w:rsidP="00E26BC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p w:rsidR="00E26BC8" w:rsidRPr="00E26BC8" w:rsidRDefault="00E26BC8" w:rsidP="00E26BC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E26BC8">
              <w:rPr>
                <w:rFonts w:ascii="Calibri" w:eastAsia="Calibri" w:hAnsi="Calibri" w:cs="Times New Roman"/>
                <w:lang w:val="es-ES"/>
              </w:rPr>
              <w:t xml:space="preserve">Los proyectos deben basarse en proyectos anteriores apoyados en el </w:t>
            </w:r>
            <w:r w:rsidR="00B42646">
              <w:rPr>
                <w:rFonts w:ascii="Calibri" w:eastAsia="Calibri" w:hAnsi="Calibri" w:cs="Times New Roman"/>
                <w:lang w:val="es-ES"/>
              </w:rPr>
              <w:t>FP7</w:t>
            </w:r>
            <w:bookmarkStart w:id="0" w:name="_GoBack"/>
            <w:bookmarkEnd w:id="0"/>
            <w:r w:rsidRPr="00E26BC8">
              <w:rPr>
                <w:rFonts w:ascii="Calibri" w:eastAsia="Calibri" w:hAnsi="Calibri" w:cs="Times New Roman"/>
                <w:lang w:val="es-ES"/>
              </w:rPr>
              <w:t xml:space="preserve"> y Horizonte 2020. Se espera que las actividades que se han implementado con Nivel de tecnología de Preparación (TRL) 6-8 (consulte la sección G de los anexos general).</w:t>
            </w:r>
          </w:p>
          <w:p w:rsidR="00E26BC8" w:rsidRPr="00E26BC8" w:rsidRDefault="00E26BC8" w:rsidP="00E26BC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p w:rsidR="00F01168" w:rsidRPr="00E456E9" w:rsidRDefault="00F01168" w:rsidP="00E26BC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b/>
          <w:sz w:val="24"/>
          <w:szCs w:val="24"/>
        </w:rPr>
      </w:pPr>
      <w:r w:rsidRPr="00F57B62">
        <w:rPr>
          <w:rFonts w:ascii="Calibri" w:eastAsia="Calibri" w:hAnsi="Calibri" w:cs="Times New Roman"/>
          <w:b/>
          <w:sz w:val="24"/>
          <w:szCs w:val="24"/>
        </w:rPr>
        <w:t xml:space="preserve">Ver </w:t>
      </w:r>
      <w:proofErr w:type="spellStart"/>
      <w:r w:rsidRPr="00F57B62">
        <w:rPr>
          <w:rFonts w:ascii="Calibri" w:eastAsia="Calibri" w:hAnsi="Calibri" w:cs="Times New Roman"/>
          <w:b/>
          <w:sz w:val="24"/>
          <w:szCs w:val="24"/>
        </w:rPr>
        <w:t>info</w:t>
      </w:r>
      <w:proofErr w:type="spellEnd"/>
      <w:r w:rsidRPr="00F57B62">
        <w:rPr>
          <w:rFonts w:ascii="Calibri" w:eastAsia="Calibri" w:hAnsi="Calibri" w:cs="Times New Roman"/>
          <w:b/>
          <w:sz w:val="24"/>
          <w:szCs w:val="24"/>
        </w:rPr>
        <w:t xml:space="preserve"> completa en:</w:t>
      </w:r>
    </w:p>
    <w:p w:rsidR="003328DC" w:rsidRDefault="0028646F" w:rsidP="00EF1090">
      <w:pPr>
        <w:pBdr>
          <w:top w:val="single" w:sz="6" w:space="0" w:color="auto"/>
          <w:bottom w:val="single" w:sz="6" w:space="1" w:color="auto"/>
        </w:pBdr>
        <w:spacing w:after="0" w:line="240" w:lineRule="auto"/>
        <w:rPr>
          <w:rStyle w:val="Hipervnculo"/>
          <w:lang w:val="es-ES_tradnl"/>
        </w:rPr>
      </w:pPr>
      <w:hyperlink r:id="rId8" w:history="1">
        <w:r w:rsidR="003328DC" w:rsidRPr="00597168">
          <w:rPr>
            <w:rStyle w:val="Hipervnculo"/>
            <w:lang w:val="es-ES_tradnl"/>
          </w:rPr>
          <w:t>http://ec.europa.eu/research/participants/portal/desktop/en/opportunities/h2020/topics/4086-ee-01-2017.html</w:t>
        </w:r>
      </w:hyperlink>
    </w:p>
    <w:p w:rsidR="00D67805" w:rsidRDefault="00D67805" w:rsidP="00EF1090">
      <w:pPr>
        <w:pBdr>
          <w:top w:val="single" w:sz="6" w:space="0" w:color="auto"/>
          <w:bottom w:val="single" w:sz="6" w:space="1" w:color="auto"/>
        </w:pBdr>
        <w:spacing w:after="0" w:line="240" w:lineRule="auto"/>
        <w:rPr>
          <w:rStyle w:val="Hipervnculo"/>
          <w:lang w:val="es-ES_tradnl"/>
        </w:rPr>
      </w:pPr>
    </w:p>
    <w:p w:rsidR="00D67805" w:rsidRPr="00274CCD" w:rsidRDefault="0028646F" w:rsidP="00EF1090">
      <w:pPr>
        <w:pBdr>
          <w:top w:val="single" w:sz="6" w:space="0" w:color="auto"/>
          <w:bottom w:val="single" w:sz="6" w:space="1" w:color="auto"/>
        </w:pBdr>
        <w:spacing w:after="0" w:line="240" w:lineRule="auto"/>
        <w:rPr>
          <w:lang w:val="es-ES_tradnl"/>
        </w:rPr>
      </w:pPr>
      <w:hyperlink r:id="rId9" w:anchor="c,topics=callIdentifier/t/H2020-EE-2016-2017/1/1/1/default-group&amp;callStatus/t/Forthcoming/1/1/0/default-group&amp;callStatus/t/Open/1/1/0/default-group&amp;callStatus/t/Closed/1/1/0/default-group&amp;+identifier/desc" w:history="1">
        <w:r w:rsidR="00D67805" w:rsidRPr="00D67805">
          <w:rPr>
            <w:rStyle w:val="Hipervnculo"/>
            <w:lang w:val="es-ES_tradnl"/>
          </w:rPr>
          <w:t>Más convocatorias en Eficiencia Energética</w:t>
        </w:r>
      </w:hyperlink>
    </w:p>
    <w:sectPr w:rsidR="00D67805" w:rsidRPr="00274CCD" w:rsidSect="00B500A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46F" w:rsidRDefault="0028646F">
      <w:pPr>
        <w:spacing w:after="0" w:line="240" w:lineRule="auto"/>
      </w:pPr>
      <w:r>
        <w:separator/>
      </w:r>
    </w:p>
  </w:endnote>
  <w:endnote w:type="continuationSeparator" w:id="0">
    <w:p w:rsidR="0028646F" w:rsidRDefault="0028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3021"/>
      <w:gridCol w:w="3137"/>
    </w:tblGrid>
    <w:tr w:rsidR="004E04AE" w:rsidRPr="00E221CA" w:rsidTr="001225C5">
      <w:tc>
        <w:tcPr>
          <w:tcW w:w="2881" w:type="dxa"/>
          <w:vAlign w:val="bottom"/>
        </w:tcPr>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Bruselako Delegazioa</w:t>
          </w:r>
        </w:p>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Delegation in Brussels</w:t>
          </w:r>
        </w:p>
      </w:tc>
      <w:tc>
        <w:tcPr>
          <w:tcW w:w="3021" w:type="dxa"/>
        </w:tcPr>
        <w:p w:rsidR="004E04AE" w:rsidRPr="002802E5" w:rsidRDefault="00992275" w:rsidP="0072023A">
          <w:pPr>
            <w:pStyle w:val="Piedepgina1"/>
            <w:rPr>
              <w:b/>
              <w:i/>
              <w:sz w:val="18"/>
              <w:szCs w:val="18"/>
            </w:rPr>
          </w:pPr>
          <w:r w:rsidRPr="002802E5">
            <w:rPr>
              <w:b/>
              <w:i/>
              <w:noProof/>
              <w:sz w:val="18"/>
              <w:szCs w:val="18"/>
              <w:lang w:eastAsia="es-ES"/>
            </w:rPr>
            <w:drawing>
              <wp:inline distT="0" distB="0" distL="0" distR="0" wp14:anchorId="42A3C5D2" wp14:editId="1FE8DFC2">
                <wp:extent cx="1781175" cy="4893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89328"/>
                        </a:xfrm>
                        <a:prstGeom prst="rect">
                          <a:avLst/>
                        </a:prstGeom>
                        <a:noFill/>
                      </pic:spPr>
                    </pic:pic>
                  </a:graphicData>
                </a:graphic>
              </wp:inline>
            </w:drawing>
          </w:r>
        </w:p>
      </w:tc>
      <w:tc>
        <w:tcPr>
          <w:tcW w:w="3137" w:type="dxa"/>
          <w:vAlign w:val="bottom"/>
        </w:tcPr>
        <w:p w:rsidR="004E04AE" w:rsidRPr="001225C5" w:rsidRDefault="00992275" w:rsidP="0072023A">
          <w:pPr>
            <w:pStyle w:val="Piedepgina1"/>
            <w:ind w:left="708"/>
            <w:rPr>
              <w:rFonts w:ascii="Arial" w:hAnsi="Arial" w:cs="Arial"/>
              <w:b/>
              <w:i/>
              <w:sz w:val="18"/>
              <w:szCs w:val="18"/>
              <w:lang w:val="fr-BE"/>
            </w:rPr>
          </w:pPr>
          <w:r w:rsidRPr="001225C5">
            <w:rPr>
              <w:rFonts w:ascii="Arial" w:hAnsi="Arial" w:cs="Arial"/>
              <w:b/>
              <w:i/>
              <w:sz w:val="18"/>
              <w:szCs w:val="18"/>
              <w:lang w:val="fr-BE"/>
            </w:rPr>
            <w:t>Délégation à Bruxelles</w:t>
          </w:r>
        </w:p>
        <w:p w:rsidR="004E04AE" w:rsidRPr="001225C5" w:rsidRDefault="00992275" w:rsidP="001225C5">
          <w:pPr>
            <w:pStyle w:val="Piedepgina1"/>
            <w:ind w:left="708"/>
            <w:rPr>
              <w:rFonts w:ascii="Arial" w:hAnsi="Arial" w:cs="Arial"/>
              <w:b/>
              <w:i/>
              <w:sz w:val="18"/>
              <w:szCs w:val="18"/>
              <w:lang w:val="fr-BE"/>
            </w:rPr>
          </w:pPr>
          <w:proofErr w:type="spellStart"/>
          <w:r w:rsidRPr="001225C5">
            <w:rPr>
              <w:rFonts w:ascii="Arial" w:hAnsi="Arial" w:cs="Arial"/>
              <w:b/>
              <w:i/>
              <w:sz w:val="18"/>
              <w:szCs w:val="18"/>
              <w:lang w:val="fr-BE"/>
            </w:rPr>
            <w:t>Delegación</w:t>
          </w:r>
          <w:proofErr w:type="spellEnd"/>
          <w:r w:rsidRPr="001225C5">
            <w:rPr>
              <w:rFonts w:ascii="Arial" w:hAnsi="Arial" w:cs="Arial"/>
              <w:b/>
              <w:i/>
              <w:sz w:val="18"/>
              <w:szCs w:val="18"/>
              <w:lang w:val="fr-BE"/>
            </w:rPr>
            <w:t xml:space="preserve"> en </w:t>
          </w:r>
          <w:r>
            <w:rPr>
              <w:rFonts w:ascii="Arial" w:hAnsi="Arial" w:cs="Arial"/>
              <w:b/>
              <w:i/>
              <w:sz w:val="18"/>
              <w:szCs w:val="18"/>
              <w:lang w:val="fr-BE"/>
            </w:rPr>
            <w:t>B</w:t>
          </w:r>
          <w:r w:rsidRPr="001225C5">
            <w:rPr>
              <w:rFonts w:ascii="Arial" w:hAnsi="Arial" w:cs="Arial"/>
              <w:b/>
              <w:i/>
              <w:sz w:val="18"/>
              <w:szCs w:val="18"/>
              <w:lang w:val="fr-BE"/>
            </w:rPr>
            <w:t>ruselas</w:t>
          </w:r>
        </w:p>
      </w:tc>
    </w:tr>
  </w:tbl>
  <w:p w:rsidR="004E04AE" w:rsidRPr="004E04AE" w:rsidRDefault="0028646F">
    <w:pPr>
      <w:pStyle w:val="Piedepgina1"/>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46F" w:rsidRDefault="0028646F">
      <w:pPr>
        <w:spacing w:after="0" w:line="240" w:lineRule="auto"/>
      </w:pPr>
      <w:r>
        <w:separator/>
      </w:r>
    </w:p>
  </w:footnote>
  <w:footnote w:type="continuationSeparator" w:id="0">
    <w:p w:rsidR="0028646F" w:rsidRDefault="0028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4E04AE" w:rsidTr="0072023A">
      <w:tc>
        <w:tcPr>
          <w:tcW w:w="4322" w:type="dxa"/>
          <w:vAlign w:val="center"/>
        </w:tcPr>
        <w:p w:rsidR="004E04AE" w:rsidRPr="004E20C4" w:rsidRDefault="00992275" w:rsidP="0072023A">
          <w:pPr>
            <w:pStyle w:val="Encabezado1"/>
            <w:rPr>
              <w:b/>
              <w:i/>
              <w:sz w:val="16"/>
              <w:szCs w:val="16"/>
            </w:rPr>
          </w:pPr>
          <w:r w:rsidRPr="004E20C4">
            <w:rPr>
              <w:b/>
              <w:i/>
              <w:sz w:val="16"/>
              <w:szCs w:val="16"/>
            </w:rPr>
            <w:t xml:space="preserve">Ficha resumen – </w:t>
          </w:r>
          <w:proofErr w:type="spellStart"/>
          <w:r w:rsidRPr="004E20C4">
            <w:rPr>
              <w:b/>
              <w:i/>
              <w:sz w:val="16"/>
              <w:szCs w:val="16"/>
            </w:rPr>
            <w:t>laburpena</w:t>
          </w:r>
          <w:proofErr w:type="spellEnd"/>
        </w:p>
      </w:tc>
      <w:tc>
        <w:tcPr>
          <w:tcW w:w="4322" w:type="dxa"/>
        </w:tcPr>
        <w:p w:rsidR="004E04AE" w:rsidRDefault="0028646F" w:rsidP="0072023A">
          <w:pPr>
            <w:pStyle w:val="Encabezado1"/>
            <w:ind w:left="2832"/>
          </w:pPr>
        </w:p>
      </w:tc>
    </w:tr>
  </w:tbl>
  <w:p w:rsidR="004E04AE" w:rsidRDefault="00992275" w:rsidP="001225C5">
    <w:pPr>
      <w:pStyle w:val="Encabezado1"/>
      <w:jc w:val="right"/>
    </w:pPr>
    <w:r>
      <w:rPr>
        <w:noProof/>
        <w:lang w:eastAsia="es-ES"/>
      </w:rPr>
      <w:drawing>
        <wp:inline distT="0" distB="0" distL="0" distR="0" wp14:anchorId="3DF0BAC7" wp14:editId="573A29C0">
          <wp:extent cx="942975" cy="352425"/>
          <wp:effectExtent l="0" t="0" r="952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
                  <a:stretch>
                    <a:fillRect/>
                  </a:stretch>
                </pic:blipFill>
                <pic:spPr>
                  <a:xfrm>
                    <a:off x="0" y="0"/>
                    <a:ext cx="94297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7"/>
    <w:multiLevelType w:val="hybridMultilevel"/>
    <w:tmpl w:val="4E5482B8"/>
    <w:lvl w:ilvl="0" w:tplc="226E61DA">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8D00BB"/>
    <w:multiLevelType w:val="hybridMultilevel"/>
    <w:tmpl w:val="8ED62B5C"/>
    <w:lvl w:ilvl="0" w:tplc="619C225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87273"/>
    <w:multiLevelType w:val="hybridMultilevel"/>
    <w:tmpl w:val="78908AE4"/>
    <w:lvl w:ilvl="0" w:tplc="812AA76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60D7D"/>
    <w:multiLevelType w:val="hybridMultilevel"/>
    <w:tmpl w:val="7CB228DC"/>
    <w:lvl w:ilvl="0" w:tplc="9EBC01CE">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0B60C3"/>
    <w:multiLevelType w:val="hybridMultilevel"/>
    <w:tmpl w:val="9E6E6CB6"/>
    <w:lvl w:ilvl="0" w:tplc="02AA91E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756341"/>
    <w:multiLevelType w:val="hybridMultilevel"/>
    <w:tmpl w:val="02283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604335F"/>
    <w:multiLevelType w:val="multilevel"/>
    <w:tmpl w:val="F0E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D4920"/>
    <w:multiLevelType w:val="hybridMultilevel"/>
    <w:tmpl w:val="9DAC5C6E"/>
    <w:lvl w:ilvl="0" w:tplc="9A203B0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DC7457"/>
    <w:multiLevelType w:val="hybridMultilevel"/>
    <w:tmpl w:val="2EB4FA64"/>
    <w:lvl w:ilvl="0" w:tplc="44EEAA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411B0B"/>
    <w:multiLevelType w:val="multilevel"/>
    <w:tmpl w:val="412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D33C1"/>
    <w:multiLevelType w:val="hybridMultilevel"/>
    <w:tmpl w:val="B040010A"/>
    <w:lvl w:ilvl="0" w:tplc="E4646C7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E24767"/>
    <w:multiLevelType w:val="hybridMultilevel"/>
    <w:tmpl w:val="0DCA5B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2742EE7"/>
    <w:multiLevelType w:val="multilevel"/>
    <w:tmpl w:val="2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84D56"/>
    <w:multiLevelType w:val="hybridMultilevel"/>
    <w:tmpl w:val="2F0EAC0C"/>
    <w:lvl w:ilvl="0" w:tplc="EC08A78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A66EFE"/>
    <w:multiLevelType w:val="multilevel"/>
    <w:tmpl w:val="89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0"/>
  </w:num>
  <w:num w:numId="4">
    <w:abstractNumId w:val="6"/>
  </w:num>
  <w:num w:numId="5">
    <w:abstractNumId w:val="9"/>
  </w:num>
  <w:num w:numId="6">
    <w:abstractNumId w:val="14"/>
  </w:num>
  <w:num w:numId="7">
    <w:abstractNumId w:val="12"/>
  </w:num>
  <w:num w:numId="8">
    <w:abstractNumId w:val="7"/>
  </w:num>
  <w:num w:numId="9">
    <w:abstractNumId w:val="3"/>
  </w:num>
  <w:num w:numId="10">
    <w:abstractNumId w:val="2"/>
  </w:num>
  <w:num w:numId="11">
    <w:abstractNumId w:val="1"/>
  </w:num>
  <w:num w:numId="12">
    <w:abstractNumId w:val="8"/>
  </w:num>
  <w:num w:numId="13">
    <w:abstractNumId w:val="10"/>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62"/>
    <w:rsid w:val="00012B66"/>
    <w:rsid w:val="000979A4"/>
    <w:rsid w:val="000C6186"/>
    <w:rsid w:val="00105170"/>
    <w:rsid w:val="001338C8"/>
    <w:rsid w:val="00170DEF"/>
    <w:rsid w:val="001A1E46"/>
    <w:rsid w:val="001B7BFA"/>
    <w:rsid w:val="001C4426"/>
    <w:rsid w:val="001D24C6"/>
    <w:rsid w:val="001F4DF5"/>
    <w:rsid w:val="002177CC"/>
    <w:rsid w:val="00221545"/>
    <w:rsid w:val="00234D03"/>
    <w:rsid w:val="00251E4A"/>
    <w:rsid w:val="00274CCD"/>
    <w:rsid w:val="00275FB4"/>
    <w:rsid w:val="0028646F"/>
    <w:rsid w:val="00296D47"/>
    <w:rsid w:val="002C5A5F"/>
    <w:rsid w:val="002C65B6"/>
    <w:rsid w:val="002E1586"/>
    <w:rsid w:val="002F38A2"/>
    <w:rsid w:val="00312A51"/>
    <w:rsid w:val="00313382"/>
    <w:rsid w:val="003165FB"/>
    <w:rsid w:val="00327F3A"/>
    <w:rsid w:val="003328DC"/>
    <w:rsid w:val="00337D2B"/>
    <w:rsid w:val="00372CCC"/>
    <w:rsid w:val="00385E62"/>
    <w:rsid w:val="003925BF"/>
    <w:rsid w:val="003B0CB0"/>
    <w:rsid w:val="003E0026"/>
    <w:rsid w:val="003E00C7"/>
    <w:rsid w:val="004148F8"/>
    <w:rsid w:val="004D1D28"/>
    <w:rsid w:val="00500186"/>
    <w:rsid w:val="00521B0A"/>
    <w:rsid w:val="00587539"/>
    <w:rsid w:val="005A3F0E"/>
    <w:rsid w:val="005A44E2"/>
    <w:rsid w:val="005D5172"/>
    <w:rsid w:val="00635E94"/>
    <w:rsid w:val="0065131B"/>
    <w:rsid w:val="006A6A4B"/>
    <w:rsid w:val="00731378"/>
    <w:rsid w:val="00771E86"/>
    <w:rsid w:val="00794CB6"/>
    <w:rsid w:val="007B213D"/>
    <w:rsid w:val="007D5767"/>
    <w:rsid w:val="007D6208"/>
    <w:rsid w:val="00807877"/>
    <w:rsid w:val="008245EF"/>
    <w:rsid w:val="00841E05"/>
    <w:rsid w:val="008433AB"/>
    <w:rsid w:val="008521E4"/>
    <w:rsid w:val="008B6830"/>
    <w:rsid w:val="00936F80"/>
    <w:rsid w:val="00963880"/>
    <w:rsid w:val="00973358"/>
    <w:rsid w:val="00992275"/>
    <w:rsid w:val="009C21FB"/>
    <w:rsid w:val="009E6395"/>
    <w:rsid w:val="009F3069"/>
    <w:rsid w:val="00A00CB1"/>
    <w:rsid w:val="00A10539"/>
    <w:rsid w:val="00A37670"/>
    <w:rsid w:val="00A6260D"/>
    <w:rsid w:val="00A81D99"/>
    <w:rsid w:val="00A86128"/>
    <w:rsid w:val="00A901B2"/>
    <w:rsid w:val="00AA2C38"/>
    <w:rsid w:val="00AB6C81"/>
    <w:rsid w:val="00AD3FCA"/>
    <w:rsid w:val="00AF5BAF"/>
    <w:rsid w:val="00B0002C"/>
    <w:rsid w:val="00B14B1F"/>
    <w:rsid w:val="00B27626"/>
    <w:rsid w:val="00B42646"/>
    <w:rsid w:val="00B47034"/>
    <w:rsid w:val="00B556A7"/>
    <w:rsid w:val="00B71DF5"/>
    <w:rsid w:val="00C17B67"/>
    <w:rsid w:val="00CE41B8"/>
    <w:rsid w:val="00CF0AE1"/>
    <w:rsid w:val="00D05366"/>
    <w:rsid w:val="00D11C77"/>
    <w:rsid w:val="00D44D0C"/>
    <w:rsid w:val="00D67805"/>
    <w:rsid w:val="00D83639"/>
    <w:rsid w:val="00D86BC6"/>
    <w:rsid w:val="00E0098F"/>
    <w:rsid w:val="00E14DD4"/>
    <w:rsid w:val="00E221CA"/>
    <w:rsid w:val="00E26BC8"/>
    <w:rsid w:val="00E42496"/>
    <w:rsid w:val="00E44DC2"/>
    <w:rsid w:val="00E456E9"/>
    <w:rsid w:val="00E866BE"/>
    <w:rsid w:val="00EE0F3D"/>
    <w:rsid w:val="00EE2A18"/>
    <w:rsid w:val="00EF1090"/>
    <w:rsid w:val="00F00591"/>
    <w:rsid w:val="00F01168"/>
    <w:rsid w:val="00F07BEF"/>
    <w:rsid w:val="00F270BC"/>
    <w:rsid w:val="00F46617"/>
    <w:rsid w:val="00F57B62"/>
    <w:rsid w:val="00F832D9"/>
    <w:rsid w:val="00FA7CD1"/>
    <w:rsid w:val="00FC76D4"/>
    <w:rsid w:val="00FD09EC"/>
    <w:rsid w:val="00FD36D1"/>
    <w:rsid w:val="00FE5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BDAF"/>
  <w15:docId w15:val="{487C985E-19DB-4576-8C12-ECD7842A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F57B6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link w:val="EncabezadoCar"/>
    <w:uiPriority w:val="99"/>
    <w:unhideWhenUsed/>
    <w:rsid w:val="00F57B62"/>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57B62"/>
  </w:style>
  <w:style w:type="paragraph" w:customStyle="1" w:styleId="Piedepgina1">
    <w:name w:val="Pie de página1"/>
    <w:basedOn w:val="Normal"/>
    <w:next w:val="Piedepgina"/>
    <w:link w:val="PiedepginaCar"/>
    <w:uiPriority w:val="99"/>
    <w:unhideWhenUsed/>
    <w:rsid w:val="00F57B62"/>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57B62"/>
  </w:style>
  <w:style w:type="table" w:customStyle="1" w:styleId="Cuadrculamedia1-nfasis11">
    <w:name w:val="Cuadrícula media 1 - Énfasis 11"/>
    <w:basedOn w:val="Tablanormal"/>
    <w:next w:val="Cuadrculamedia1-nfasis1"/>
    <w:uiPriority w:val="67"/>
    <w:rsid w:val="00F57B62"/>
    <w:pPr>
      <w:spacing w:after="0" w:line="240" w:lineRule="auto"/>
    </w:pPr>
    <w:rPr>
      <w:sz w:val="24"/>
      <w:szCs w:val="24"/>
      <w:lang w:val="es-ES_trad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Tablaconcuadrcula">
    <w:name w:val="Table Grid"/>
    <w:basedOn w:val="Tablanormal"/>
    <w:uiPriority w:val="59"/>
    <w:rsid w:val="00F5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F57B62"/>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57B62"/>
  </w:style>
  <w:style w:type="paragraph" w:styleId="Piedepgina">
    <w:name w:val="footer"/>
    <w:basedOn w:val="Normal"/>
    <w:link w:val="PiedepginaCar1"/>
    <w:uiPriority w:val="99"/>
    <w:semiHidden/>
    <w:unhideWhenUsed/>
    <w:rsid w:val="00F57B62"/>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57B62"/>
  </w:style>
  <w:style w:type="table" w:styleId="Cuadrculamedia1-nfasis1">
    <w:name w:val="Medium Grid 1 Accent 1"/>
    <w:basedOn w:val="Tablanormal"/>
    <w:uiPriority w:val="67"/>
    <w:rsid w:val="00F57B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deglobo">
    <w:name w:val="Balloon Text"/>
    <w:basedOn w:val="Normal"/>
    <w:link w:val="TextodegloboCar"/>
    <w:uiPriority w:val="99"/>
    <w:semiHidden/>
    <w:unhideWhenUsed/>
    <w:rsid w:val="00F57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B62"/>
    <w:rPr>
      <w:rFonts w:ascii="Tahoma" w:hAnsi="Tahoma" w:cs="Tahoma"/>
      <w:sz w:val="16"/>
      <w:szCs w:val="16"/>
    </w:rPr>
  </w:style>
  <w:style w:type="character" w:styleId="Hipervnculo">
    <w:name w:val="Hyperlink"/>
    <w:basedOn w:val="Fuentedeprrafopredeter"/>
    <w:uiPriority w:val="99"/>
    <w:unhideWhenUsed/>
    <w:rsid w:val="00372CCC"/>
    <w:rPr>
      <w:color w:val="0000FF" w:themeColor="hyperlink"/>
      <w:u w:val="single"/>
    </w:rPr>
  </w:style>
  <w:style w:type="paragraph" w:styleId="Prrafodelista">
    <w:name w:val="List Paragraph"/>
    <w:basedOn w:val="Normal"/>
    <w:uiPriority w:val="34"/>
    <w:qFormat/>
    <w:rsid w:val="005D5172"/>
    <w:pPr>
      <w:ind w:left="720"/>
      <w:contextualSpacing/>
    </w:pPr>
  </w:style>
  <w:style w:type="character" w:styleId="Hipervnculovisitado">
    <w:name w:val="FollowedHyperlink"/>
    <w:basedOn w:val="Fuentedeprrafopredeter"/>
    <w:uiPriority w:val="99"/>
    <w:semiHidden/>
    <w:unhideWhenUsed/>
    <w:rsid w:val="00963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244">
      <w:bodyDiv w:val="1"/>
      <w:marLeft w:val="0"/>
      <w:marRight w:val="0"/>
      <w:marTop w:val="0"/>
      <w:marBottom w:val="0"/>
      <w:divBdr>
        <w:top w:val="none" w:sz="0" w:space="0" w:color="auto"/>
        <w:left w:val="none" w:sz="0" w:space="0" w:color="auto"/>
        <w:bottom w:val="none" w:sz="0" w:space="0" w:color="auto"/>
        <w:right w:val="none" w:sz="0" w:space="0" w:color="auto"/>
      </w:divBdr>
    </w:div>
    <w:div w:id="826020317">
      <w:bodyDiv w:val="1"/>
      <w:marLeft w:val="0"/>
      <w:marRight w:val="0"/>
      <w:marTop w:val="0"/>
      <w:marBottom w:val="0"/>
      <w:divBdr>
        <w:top w:val="none" w:sz="0" w:space="0" w:color="auto"/>
        <w:left w:val="none" w:sz="0" w:space="0" w:color="auto"/>
        <w:bottom w:val="none" w:sz="0" w:space="0" w:color="auto"/>
        <w:right w:val="none" w:sz="0" w:space="0" w:color="auto"/>
      </w:divBdr>
    </w:div>
    <w:div w:id="1137255817">
      <w:bodyDiv w:val="1"/>
      <w:marLeft w:val="0"/>
      <w:marRight w:val="0"/>
      <w:marTop w:val="0"/>
      <w:marBottom w:val="0"/>
      <w:divBdr>
        <w:top w:val="none" w:sz="0" w:space="0" w:color="auto"/>
        <w:left w:val="none" w:sz="0" w:space="0" w:color="auto"/>
        <w:bottom w:val="none" w:sz="0" w:space="0" w:color="auto"/>
        <w:right w:val="none" w:sz="0" w:space="0" w:color="auto"/>
      </w:divBdr>
    </w:div>
    <w:div w:id="16481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esktop/en/opportunities/h2020/topics/4086-ee-01-201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research/participants/data/ref/h2020/other/wp/2016-2017/annexes/h2020-wp1617-annex-a-countries-rules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c.europa.eu/research/participants/portal/desktop/en/opportunities/h2020/calls/h2020-ee-2016-201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FIGUEROA, Ana</dc:creator>
  <cp:lastModifiedBy>Becario NAVARRA (ELEXPE BASTIDA,Oscar</cp:lastModifiedBy>
  <cp:revision>52</cp:revision>
  <dcterms:created xsi:type="dcterms:W3CDTF">2016-01-29T14:13:00Z</dcterms:created>
  <dcterms:modified xsi:type="dcterms:W3CDTF">2016-06-07T09:12:00Z</dcterms:modified>
</cp:coreProperties>
</file>