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1"/>
        <w:tblW w:w="10173" w:type="dxa"/>
        <w:tblLook w:val="04A0" w:firstRow="1" w:lastRow="0" w:firstColumn="1" w:lastColumn="0" w:noHBand="0" w:noVBand="1"/>
      </w:tblPr>
      <w:tblGrid>
        <w:gridCol w:w="10173"/>
      </w:tblGrid>
      <w:tr w:rsidR="00F57B62" w:rsidRPr="00F57B62" w:rsidTr="00873206">
        <w:tc>
          <w:tcPr>
            <w:tcW w:w="10173" w:type="dxa"/>
          </w:tcPr>
          <w:p w:rsidR="00F57B62" w:rsidRPr="00E14DD4" w:rsidRDefault="004B3AB6" w:rsidP="00E14DD4">
            <w:pPr>
              <w:pBdr>
                <w:top w:val="single" w:sz="6" w:space="1" w:color="auto"/>
                <w:bottom w:val="single" w:sz="6" w:space="1" w:color="auto"/>
              </w:pBdr>
              <w:jc w:val="center"/>
              <w:rPr>
                <w:rFonts w:ascii="Calibri" w:eastAsia="Calibri" w:hAnsi="Calibri" w:cs="Times New Roman"/>
                <w:b/>
                <w:bCs/>
                <w:color w:val="4472C4"/>
                <w:sz w:val="36"/>
                <w:szCs w:val="36"/>
              </w:rPr>
            </w:pPr>
            <w:r>
              <w:rPr>
                <w:rFonts w:ascii="Calibri" w:eastAsia="Calibri" w:hAnsi="Calibri" w:cs="Times New Roman"/>
                <w:b/>
                <w:bCs/>
                <w:color w:val="4472C4"/>
                <w:sz w:val="36"/>
                <w:szCs w:val="36"/>
              </w:rPr>
              <w:t>Proyectos de ciudades y comunidades inteligentes</w:t>
            </w:r>
            <w:r w:rsidR="00F57B62" w:rsidRPr="00F57B62">
              <w:rPr>
                <w:rFonts w:ascii="Calibri" w:eastAsia="Calibri" w:hAnsi="Calibri" w:cs="Times New Roman"/>
                <w:b/>
                <w:color w:val="4472C4"/>
                <w:sz w:val="36"/>
                <w:szCs w:val="36"/>
              </w:rPr>
              <w:t>- FICHA TÉCNICA</w:t>
            </w:r>
          </w:p>
        </w:tc>
      </w:tr>
    </w:tbl>
    <w:p w:rsidR="00F57B62" w:rsidRPr="00F57B62" w:rsidRDefault="00F57B62" w:rsidP="00F57B62">
      <w:pPr>
        <w:pBdr>
          <w:top w:val="single" w:sz="6" w:space="1" w:color="auto"/>
          <w:bottom w:val="single" w:sz="6" w:space="1" w:color="auto"/>
        </w:pBdr>
        <w:spacing w:after="0" w:line="240" w:lineRule="auto"/>
        <w:rPr>
          <w:rFonts w:ascii="Calibri" w:eastAsia="Calibri" w:hAnsi="Calibri" w:cs="Times New Roman"/>
          <w:sz w:val="24"/>
          <w:szCs w:val="24"/>
        </w:rPr>
      </w:pPr>
    </w:p>
    <w:tbl>
      <w:tblPr>
        <w:tblStyle w:val="Cuadrculamedia1-nfasis11"/>
        <w:tblW w:w="10173" w:type="dxa"/>
        <w:tblLook w:val="04A0" w:firstRow="1" w:lastRow="0" w:firstColumn="1" w:lastColumn="0" w:noHBand="0" w:noVBand="1"/>
      </w:tblPr>
      <w:tblGrid>
        <w:gridCol w:w="1809"/>
        <w:gridCol w:w="8364"/>
      </w:tblGrid>
      <w:tr w:rsidR="00F57B62" w:rsidRPr="00F57B62" w:rsidTr="008732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 xml:space="preserve">Objeto de la </w:t>
            </w:r>
            <w:r>
              <w:rPr>
                <w:rFonts w:ascii="Calibri" w:eastAsia="Calibri" w:hAnsi="Calibri" w:cs="Times New Roman"/>
              </w:rPr>
              <w:t>s</w:t>
            </w:r>
            <w:r w:rsidRPr="00F57B62">
              <w:rPr>
                <w:rFonts w:ascii="Calibri" w:eastAsia="Calibri" w:hAnsi="Calibri" w:cs="Times New Roman"/>
              </w:rPr>
              <w:t>ubvención</w:t>
            </w:r>
          </w:p>
        </w:tc>
        <w:tc>
          <w:tcPr>
            <w:tcW w:w="8364" w:type="dxa"/>
          </w:tcPr>
          <w:p w:rsidR="004B3AB6" w:rsidRPr="004B3AB6" w:rsidRDefault="004B3AB6" w:rsidP="004B3AB6">
            <w:pPr>
              <w:contextualSpacing/>
              <w:cnfStyle w:val="100000000000" w:firstRow="1" w:lastRow="0" w:firstColumn="0" w:lastColumn="0" w:oddVBand="0" w:evenVBand="0" w:oddHBand="0" w:evenHBand="0" w:firstRowFirstColumn="0" w:firstRowLastColumn="0" w:lastRowFirstColumn="0" w:lastRowLastColumn="0"/>
              <w:rPr>
                <w:rFonts w:eastAsia="Calibri" w:cs="Times New Roman"/>
                <w:b w:val="0"/>
              </w:rPr>
            </w:pPr>
            <w:r w:rsidRPr="004B3AB6">
              <w:rPr>
                <w:rFonts w:eastAsia="Calibri" w:cs="Times New Roman"/>
                <w:b w:val="0"/>
              </w:rPr>
              <w:t xml:space="preserve">Para demostrar soluciones a escala de distrito de la integración de los edificios inteligentes, las redes inteligentes (electricidad, calefacción urbana, telecomunicaciones, agua, etc.), almacenamiento de energía, vehículos eléctricos y las infraestructuras de recarga inteligentes, utilizando las últimas plataformas de generación de TIC (e infraestructura) sobre la base de especificaciones </w:t>
            </w:r>
            <w:r w:rsidR="00A64F33" w:rsidRPr="004B3AB6">
              <w:rPr>
                <w:rFonts w:eastAsia="Calibri" w:cs="Times New Roman"/>
                <w:b w:val="0"/>
              </w:rPr>
              <w:t>abiertas.</w:t>
            </w:r>
            <w:r w:rsidRPr="004B3AB6">
              <w:rPr>
                <w:rFonts w:eastAsia="Calibri" w:cs="Times New Roman"/>
                <w:b w:val="0"/>
              </w:rPr>
              <w:t xml:space="preserve"> Esto se debe, a su vez ayuda a gestionar una transformación exitosa </w:t>
            </w:r>
            <w:r w:rsidR="00A64F33" w:rsidRPr="004B3AB6">
              <w:rPr>
                <w:rFonts w:eastAsia="Calibri" w:cs="Times New Roman"/>
                <w:b w:val="0"/>
              </w:rPr>
              <w:t>hacía</w:t>
            </w:r>
            <w:r w:rsidRPr="004B3AB6">
              <w:rPr>
                <w:rFonts w:eastAsia="Calibri" w:cs="Times New Roman"/>
                <w:b w:val="0"/>
              </w:rPr>
              <w:t>, impulsado por los usuarios y las infraestructuras de la ciudad orientados a la demanda y servicios inteligentes.</w:t>
            </w:r>
          </w:p>
          <w:p w:rsidR="00F57B62" w:rsidRPr="00385E62" w:rsidRDefault="004B3AB6" w:rsidP="004B3AB6">
            <w:pPr>
              <w:contextualSpacing/>
              <w:cnfStyle w:val="100000000000" w:firstRow="1" w:lastRow="0" w:firstColumn="0" w:lastColumn="0" w:oddVBand="0" w:evenVBand="0" w:oddHBand="0" w:evenHBand="0" w:firstRowFirstColumn="0" w:firstRowLastColumn="0" w:lastRowFirstColumn="0" w:lastRowLastColumn="0"/>
              <w:rPr>
                <w:rFonts w:eastAsia="Calibri" w:cs="Times New Roman"/>
                <w:b w:val="0"/>
              </w:rPr>
            </w:pPr>
            <w:r w:rsidRPr="004B3AB6">
              <w:rPr>
                <w:rFonts w:eastAsia="Calibri" w:cs="Times New Roman"/>
                <w:b w:val="0"/>
              </w:rPr>
              <w:t>Esto debe ir acompañada de medidas de eficiencia energética y el uso de elevadas cuotas de energías renovables a nivel de los distritos.</w:t>
            </w:r>
          </w:p>
        </w:tc>
      </w:tr>
      <w:tr w:rsidR="00F57B62" w:rsidRPr="00F57B62" w:rsidTr="00873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Plazos</w:t>
            </w:r>
          </w:p>
        </w:tc>
        <w:tc>
          <w:tcPr>
            <w:tcW w:w="8364" w:type="dxa"/>
          </w:tcPr>
          <w:p w:rsidR="00F57B62" w:rsidRPr="00F57B62" w:rsidRDefault="004148F8" w:rsidP="004B3AB6">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Pr>
                <w:rFonts w:ascii="Calibri" w:eastAsia="Calibri" w:hAnsi="Calibri" w:cs="Times New Roman"/>
              </w:rPr>
              <w:t xml:space="preserve">Plazo de apertura: </w:t>
            </w:r>
            <w:r w:rsidR="004B3AB6">
              <w:rPr>
                <w:rFonts w:ascii="Calibri" w:eastAsia="Calibri" w:hAnsi="Calibri" w:cs="Times New Roman"/>
              </w:rPr>
              <w:t>4</w:t>
            </w:r>
            <w:r>
              <w:rPr>
                <w:rFonts w:ascii="Calibri" w:eastAsia="Calibri" w:hAnsi="Calibri" w:cs="Times New Roman"/>
              </w:rPr>
              <w:t xml:space="preserve"> de </w:t>
            </w:r>
            <w:r w:rsidR="004B3AB6">
              <w:rPr>
                <w:rFonts w:ascii="Calibri" w:eastAsia="Calibri" w:hAnsi="Calibri" w:cs="Times New Roman"/>
              </w:rPr>
              <w:t>Octubre</w:t>
            </w:r>
            <w:r>
              <w:rPr>
                <w:rFonts w:ascii="Calibri" w:eastAsia="Calibri" w:hAnsi="Calibri" w:cs="Times New Roman"/>
              </w:rPr>
              <w:t xml:space="preserve"> de 2016 – Plazo de cierre: </w:t>
            </w:r>
            <w:r w:rsidR="004B3AB6">
              <w:rPr>
                <w:rFonts w:ascii="Calibri" w:eastAsia="Calibri" w:hAnsi="Calibri" w:cs="Times New Roman"/>
              </w:rPr>
              <w:t>14</w:t>
            </w:r>
            <w:r>
              <w:rPr>
                <w:rFonts w:ascii="Calibri" w:eastAsia="Calibri" w:hAnsi="Calibri" w:cs="Times New Roman"/>
              </w:rPr>
              <w:t xml:space="preserve"> de </w:t>
            </w:r>
            <w:r w:rsidR="004B3AB6">
              <w:rPr>
                <w:rFonts w:ascii="Calibri" w:eastAsia="Calibri" w:hAnsi="Calibri" w:cs="Times New Roman"/>
              </w:rPr>
              <w:t>Febrero</w:t>
            </w:r>
            <w:r>
              <w:rPr>
                <w:rFonts w:ascii="Calibri" w:eastAsia="Calibri" w:hAnsi="Calibri" w:cs="Times New Roman"/>
              </w:rPr>
              <w:t xml:space="preserve"> de 2017.</w:t>
            </w:r>
          </w:p>
        </w:tc>
      </w:tr>
      <w:tr w:rsidR="00F57B62" w:rsidRPr="00F57B62" w:rsidTr="00873206">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Beneficiarios</w:t>
            </w:r>
          </w:p>
        </w:tc>
        <w:tc>
          <w:tcPr>
            <w:tcW w:w="8364" w:type="dxa"/>
          </w:tcPr>
          <w:p w:rsidR="00EE2A18" w:rsidRPr="00B556A7" w:rsidRDefault="00BB1C81" w:rsidP="00B556A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hyperlink r:id="rId7" w:history="1">
              <w:r w:rsidR="0065131B" w:rsidRPr="0065131B">
                <w:rPr>
                  <w:rStyle w:val="Hipervnculo"/>
                  <w:rFonts w:ascii="Calibri" w:eastAsia="Calibri" w:hAnsi="Calibri" w:cs="Times New Roman"/>
                </w:rPr>
                <w:t>Características de las empresas que pueden participar para beneficiarse de la financiación.</w:t>
              </w:r>
            </w:hyperlink>
          </w:p>
        </w:tc>
      </w:tr>
      <w:tr w:rsidR="00F57B62" w:rsidRPr="00F57B62" w:rsidTr="00873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57B62" w:rsidRPr="00F57B62" w:rsidRDefault="00F57B62" w:rsidP="00F57B62">
            <w:pPr>
              <w:rPr>
                <w:rFonts w:ascii="Calibri" w:eastAsia="Calibri" w:hAnsi="Calibri" w:cs="Times New Roman"/>
              </w:rPr>
            </w:pPr>
            <w:r w:rsidRPr="00F57B62">
              <w:rPr>
                <w:rFonts w:ascii="Calibri" w:eastAsia="Calibri" w:hAnsi="Calibri" w:cs="Times New Roman"/>
              </w:rPr>
              <w:t>Observaciones</w:t>
            </w:r>
          </w:p>
        </w:tc>
        <w:tc>
          <w:tcPr>
            <w:tcW w:w="8364" w:type="dxa"/>
          </w:tcPr>
          <w:p w:rsidR="004C6360" w:rsidRPr="004C6360" w:rsidRDefault="004C6360" w:rsidP="004C6360">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4C6360">
              <w:rPr>
                <w:rFonts w:ascii="Calibri" w:eastAsia="Calibri" w:hAnsi="Calibri" w:cs="Times New Roman"/>
                <w:lang w:val="es-ES"/>
              </w:rPr>
              <w:t>Las propuestas deben abordar una combinación bien balanceada de casas inteligentes, sistemas de energía y las TIC intel</w:t>
            </w:r>
            <w:r w:rsidR="00B0354B">
              <w:rPr>
                <w:rFonts w:ascii="Calibri" w:eastAsia="Calibri" w:hAnsi="Calibri" w:cs="Times New Roman"/>
                <w:lang w:val="es-ES"/>
              </w:rPr>
              <w:t>igentes y vehículos eléctricos.</w:t>
            </w:r>
          </w:p>
          <w:p w:rsidR="004C6360" w:rsidRPr="004C6360" w:rsidRDefault="004C6360" w:rsidP="004C6360">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700D0D">
              <w:rPr>
                <w:rFonts w:ascii="Calibri" w:eastAsia="Calibri" w:hAnsi="Calibri" w:cs="Times New Roman"/>
                <w:b/>
                <w:lang w:val="es-ES"/>
              </w:rPr>
              <w:t>-</w:t>
            </w:r>
            <w:r w:rsidRPr="004C6360">
              <w:rPr>
                <w:rFonts w:ascii="Calibri" w:eastAsia="Calibri" w:hAnsi="Calibri" w:cs="Times New Roman"/>
                <w:b/>
                <w:lang w:val="es-ES"/>
              </w:rPr>
              <w:t xml:space="preserve">Un distrito más grande de edificios viejos o nuevos </w:t>
            </w:r>
            <w:r w:rsidRPr="004C6360">
              <w:rPr>
                <w:rFonts w:ascii="Calibri" w:eastAsia="Calibri" w:hAnsi="Calibri" w:cs="Times New Roman"/>
                <w:lang w:val="es-ES"/>
              </w:rPr>
              <w:t xml:space="preserve">(o mixtos y lo ideal es casi cero o baja energía). Estos distritos se adaptarán a los diferentes tamaños de las ciudades y de las condiciones locales. Cada edificio pasará a ser inteligente, es decir, con la última generación de las TIC, los medidores inteligentes, electrodomésticos inteligentes, la gestión inteligente de la energía, el uso inteligente de la masa térmica; gestión inteligente de refrigeración (en su caso), etc., y también aprovechando las sinergias entre estos componentes individuales). </w:t>
            </w:r>
            <w:r w:rsidRPr="00700D0D">
              <w:rPr>
                <w:rFonts w:ascii="Calibri" w:eastAsia="Calibri" w:hAnsi="Calibri" w:cs="Times New Roman"/>
                <w:b/>
                <w:lang w:val="es-ES"/>
              </w:rPr>
              <w:t>-</w:t>
            </w:r>
            <w:r w:rsidRPr="004C6360">
              <w:rPr>
                <w:rFonts w:ascii="Calibri" w:eastAsia="Calibri" w:hAnsi="Calibri" w:cs="Times New Roman"/>
                <w:b/>
                <w:lang w:val="es-ES"/>
              </w:rPr>
              <w:t>Un mayor número de edificios inteligentes</w:t>
            </w:r>
            <w:r w:rsidRPr="004C6360">
              <w:rPr>
                <w:rFonts w:ascii="Calibri" w:eastAsia="Calibri" w:hAnsi="Calibri" w:cs="Times New Roman"/>
                <w:lang w:val="es-ES"/>
              </w:rPr>
              <w:t xml:space="preserve"> creará un distrito más inteligente mediante la interacción inten</w:t>
            </w:r>
            <w:bookmarkStart w:id="0" w:name="_GoBack"/>
            <w:bookmarkEnd w:id="0"/>
            <w:r w:rsidRPr="004C6360">
              <w:rPr>
                <w:rFonts w:ascii="Calibri" w:eastAsia="Calibri" w:hAnsi="Calibri" w:cs="Times New Roman"/>
                <w:lang w:val="es-ES"/>
              </w:rPr>
              <w:t xml:space="preserve">siva entre los edificios para aumentar las sinergias </w:t>
            </w:r>
            <w:r>
              <w:rPr>
                <w:rFonts w:ascii="Calibri" w:eastAsia="Calibri" w:hAnsi="Calibri" w:cs="Times New Roman"/>
                <w:lang w:val="es-ES"/>
              </w:rPr>
              <w:t>y la disminución de los costos. L</w:t>
            </w:r>
            <w:r w:rsidRPr="004C6360">
              <w:rPr>
                <w:rFonts w:ascii="Calibri" w:eastAsia="Calibri" w:hAnsi="Calibri" w:cs="Times New Roman"/>
                <w:lang w:val="es-ES"/>
              </w:rPr>
              <w:t>a interacción inteligente de los diferentes sistemas de energía en los distritos nivel de ir mucho más allá de sólo una gestión clásica redes eléctricas: gestión inteligente de la electricidad, calor, frío, gas u otros sistemas de la red (incluyendo el agua) con soluciones inteligentes para el almacenamiento, incluyendo el uso inteligente de la masa térmica edificios que explotan las sinergias entre estas redes urbanas con el fin de aumentar la eficiencia y reducir los costos de energía.</w:t>
            </w:r>
          </w:p>
          <w:p w:rsidR="004C6360" w:rsidRPr="004C6360" w:rsidRDefault="00B0354B" w:rsidP="004C6360">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B0354B">
              <w:rPr>
                <w:rFonts w:ascii="Calibri" w:eastAsia="Calibri" w:hAnsi="Calibri" w:cs="Times New Roman"/>
                <w:b/>
                <w:lang w:val="es-ES"/>
              </w:rPr>
              <w:t>-</w:t>
            </w:r>
            <w:r w:rsidR="004C6360" w:rsidRPr="00B0354B">
              <w:rPr>
                <w:rFonts w:ascii="Calibri" w:eastAsia="Calibri" w:hAnsi="Calibri" w:cs="Times New Roman"/>
                <w:b/>
                <w:lang w:val="es-ES"/>
              </w:rPr>
              <w:t>La integración con y / o consolidación de sistemas de bajo carbono</w:t>
            </w:r>
            <w:r w:rsidR="004C6360" w:rsidRPr="004C6360">
              <w:rPr>
                <w:rFonts w:ascii="Calibri" w:eastAsia="Calibri" w:hAnsi="Calibri" w:cs="Times New Roman"/>
                <w:lang w:val="es-ES"/>
              </w:rPr>
              <w:t xml:space="preserve"> de las TIC a nivel de distrito (redes de comunicación, medios informáticos, centros de datos).</w:t>
            </w:r>
          </w:p>
          <w:p w:rsidR="00F01168" w:rsidRPr="00E456E9" w:rsidRDefault="00B0354B" w:rsidP="004C6360">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s-ES"/>
              </w:rPr>
            </w:pPr>
            <w:r w:rsidRPr="00B0354B">
              <w:rPr>
                <w:rFonts w:ascii="Calibri" w:eastAsia="Calibri" w:hAnsi="Calibri" w:cs="Times New Roman"/>
                <w:b/>
                <w:lang w:val="es-ES"/>
              </w:rPr>
              <w:t>-Electromovilidad</w:t>
            </w:r>
            <w:r w:rsidR="004C6360" w:rsidRPr="004C6360">
              <w:rPr>
                <w:rFonts w:ascii="Calibri" w:eastAsia="Calibri" w:hAnsi="Calibri" w:cs="Times New Roman"/>
                <w:lang w:val="es-ES"/>
              </w:rPr>
              <w:t xml:space="preserve"> (de conformidad con la Directiva 2014/94): EV inteligente de carga (cuadrícula para vehículo y vehículo a la red) garantizando al mismo tiempo un impacto positivo en todo el sistema de energía desde un punto de vista técnico y económico. Se debe prestar atención a las redes locales débiles o viejos.</w:t>
            </w:r>
          </w:p>
        </w:tc>
      </w:tr>
    </w:tbl>
    <w:p w:rsidR="00F57B62" w:rsidRPr="00F57B62" w:rsidRDefault="00F57B62" w:rsidP="00F57B62">
      <w:pPr>
        <w:pBdr>
          <w:top w:val="single" w:sz="6" w:space="1" w:color="auto"/>
          <w:bottom w:val="single" w:sz="6" w:space="1" w:color="auto"/>
        </w:pBdr>
        <w:spacing w:after="0" w:line="240" w:lineRule="auto"/>
        <w:rPr>
          <w:rFonts w:ascii="Calibri" w:eastAsia="Calibri" w:hAnsi="Calibri" w:cs="Times New Roman"/>
          <w:b/>
          <w:sz w:val="24"/>
          <w:szCs w:val="24"/>
        </w:rPr>
      </w:pPr>
      <w:r w:rsidRPr="00F57B62">
        <w:rPr>
          <w:rFonts w:ascii="Calibri" w:eastAsia="Calibri" w:hAnsi="Calibri" w:cs="Times New Roman"/>
          <w:b/>
          <w:sz w:val="24"/>
          <w:szCs w:val="24"/>
        </w:rPr>
        <w:t xml:space="preserve">Ver </w:t>
      </w:r>
      <w:proofErr w:type="spellStart"/>
      <w:r w:rsidRPr="00F57B62">
        <w:rPr>
          <w:rFonts w:ascii="Calibri" w:eastAsia="Calibri" w:hAnsi="Calibri" w:cs="Times New Roman"/>
          <w:b/>
          <w:sz w:val="24"/>
          <w:szCs w:val="24"/>
        </w:rPr>
        <w:t>info</w:t>
      </w:r>
      <w:proofErr w:type="spellEnd"/>
      <w:r w:rsidRPr="00F57B62">
        <w:rPr>
          <w:rFonts w:ascii="Calibri" w:eastAsia="Calibri" w:hAnsi="Calibri" w:cs="Times New Roman"/>
          <w:b/>
          <w:sz w:val="24"/>
          <w:szCs w:val="24"/>
        </w:rPr>
        <w:t xml:space="preserve"> completa en:</w:t>
      </w:r>
    </w:p>
    <w:p w:rsidR="005D436F" w:rsidRDefault="00BB1C81" w:rsidP="009114C7">
      <w:pPr>
        <w:pBdr>
          <w:top w:val="single" w:sz="6" w:space="0" w:color="auto"/>
          <w:bottom w:val="single" w:sz="6" w:space="1" w:color="auto"/>
        </w:pBdr>
        <w:spacing w:after="0" w:line="240" w:lineRule="auto"/>
        <w:rPr>
          <w:rStyle w:val="Hipervnculo"/>
        </w:rPr>
      </w:pPr>
      <w:hyperlink r:id="rId8" w:history="1">
        <w:r w:rsidR="009114C7" w:rsidRPr="00321389">
          <w:rPr>
            <w:rStyle w:val="Hipervnculo"/>
          </w:rPr>
          <w:t>http://ec.europa.eu/rese</w:t>
        </w:r>
        <w:r w:rsidR="009114C7" w:rsidRPr="00321389">
          <w:rPr>
            <w:rStyle w:val="Hipervnculo"/>
          </w:rPr>
          <w:t>a</w:t>
        </w:r>
        <w:r w:rsidR="009114C7" w:rsidRPr="00321389">
          <w:rPr>
            <w:rStyle w:val="Hipervnculo"/>
          </w:rPr>
          <w:t>rch/participants/portal/desktop/en/opportunities/h2020/topics/4082-scc-1-2016-2017.html</w:t>
        </w:r>
      </w:hyperlink>
    </w:p>
    <w:p w:rsidR="00125879" w:rsidRPr="005D436F" w:rsidRDefault="00BB1C81" w:rsidP="009114C7">
      <w:pPr>
        <w:pBdr>
          <w:top w:val="single" w:sz="6" w:space="0" w:color="auto"/>
          <w:bottom w:val="single" w:sz="6" w:space="1" w:color="auto"/>
        </w:pBdr>
        <w:spacing w:after="0" w:line="240" w:lineRule="auto"/>
      </w:pPr>
      <w:hyperlink r:id="rId9" w:anchor="c,topics=callIdentifier/t/H2020-SCC-2016-2017/1/1/1/default-group&amp;callStatus/t/Forthcoming/1/1/0/default-group&amp;callStatus/t/Open/1/1/0/default-group&amp;callStatus/t/Closed/1/1/0/default-group&amp;+identifier/desc" w:history="1">
        <w:r w:rsidR="00125879" w:rsidRPr="00125879">
          <w:rPr>
            <w:rStyle w:val="Hipervnculo"/>
          </w:rPr>
          <w:t xml:space="preserve">Más convocatorias en Smart </w:t>
        </w:r>
        <w:proofErr w:type="spellStart"/>
        <w:r w:rsidR="00125879" w:rsidRPr="00125879">
          <w:rPr>
            <w:rStyle w:val="Hipervnculo"/>
          </w:rPr>
          <w:t>Cities</w:t>
        </w:r>
        <w:proofErr w:type="spellEnd"/>
      </w:hyperlink>
    </w:p>
    <w:sectPr w:rsidR="00125879" w:rsidRPr="005D436F" w:rsidSect="00B500A9">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C81" w:rsidRDefault="00BB1C81">
      <w:pPr>
        <w:spacing w:after="0" w:line="240" w:lineRule="auto"/>
      </w:pPr>
      <w:r>
        <w:separator/>
      </w:r>
    </w:p>
  </w:endnote>
  <w:endnote w:type="continuationSeparator" w:id="0">
    <w:p w:rsidR="00BB1C81" w:rsidRDefault="00BB1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3021"/>
      <w:gridCol w:w="3137"/>
    </w:tblGrid>
    <w:tr w:rsidR="004E04AE" w:rsidRPr="00E221CA" w:rsidTr="001225C5">
      <w:tc>
        <w:tcPr>
          <w:tcW w:w="2881" w:type="dxa"/>
          <w:vAlign w:val="bottom"/>
        </w:tcPr>
        <w:p w:rsidR="004E04AE" w:rsidRPr="00F57B62" w:rsidRDefault="00992275" w:rsidP="0072023A">
          <w:pPr>
            <w:pStyle w:val="Piedepgina1"/>
            <w:rPr>
              <w:rFonts w:ascii="Arial" w:hAnsi="Arial" w:cs="Arial"/>
              <w:b/>
              <w:i/>
              <w:sz w:val="18"/>
              <w:szCs w:val="18"/>
              <w:lang w:val="it-IT"/>
            </w:rPr>
          </w:pPr>
          <w:r w:rsidRPr="00F57B62">
            <w:rPr>
              <w:rFonts w:ascii="Arial" w:hAnsi="Arial" w:cs="Arial"/>
              <w:b/>
              <w:i/>
              <w:sz w:val="18"/>
              <w:szCs w:val="18"/>
              <w:lang w:val="it-IT"/>
            </w:rPr>
            <w:t>Bruselako Delegazioa</w:t>
          </w:r>
        </w:p>
        <w:p w:rsidR="004E04AE" w:rsidRPr="00F57B62" w:rsidRDefault="00992275" w:rsidP="0072023A">
          <w:pPr>
            <w:pStyle w:val="Piedepgina1"/>
            <w:rPr>
              <w:rFonts w:ascii="Arial" w:hAnsi="Arial" w:cs="Arial"/>
              <w:b/>
              <w:i/>
              <w:sz w:val="18"/>
              <w:szCs w:val="18"/>
              <w:lang w:val="it-IT"/>
            </w:rPr>
          </w:pPr>
          <w:r w:rsidRPr="00F57B62">
            <w:rPr>
              <w:rFonts w:ascii="Arial" w:hAnsi="Arial" w:cs="Arial"/>
              <w:b/>
              <w:i/>
              <w:sz w:val="18"/>
              <w:szCs w:val="18"/>
              <w:lang w:val="it-IT"/>
            </w:rPr>
            <w:t>Delegation in Brussels</w:t>
          </w:r>
        </w:p>
      </w:tc>
      <w:tc>
        <w:tcPr>
          <w:tcW w:w="3021" w:type="dxa"/>
        </w:tcPr>
        <w:p w:rsidR="004E04AE" w:rsidRPr="002802E5" w:rsidRDefault="00992275" w:rsidP="0072023A">
          <w:pPr>
            <w:pStyle w:val="Piedepgina1"/>
            <w:rPr>
              <w:b/>
              <w:i/>
              <w:sz w:val="18"/>
              <w:szCs w:val="18"/>
            </w:rPr>
          </w:pPr>
          <w:r w:rsidRPr="002802E5">
            <w:rPr>
              <w:b/>
              <w:i/>
              <w:noProof/>
              <w:sz w:val="18"/>
              <w:szCs w:val="18"/>
              <w:lang w:eastAsia="es-ES"/>
            </w:rPr>
            <w:drawing>
              <wp:inline distT="0" distB="0" distL="0" distR="0" wp14:anchorId="42A3C5D2" wp14:editId="1FE8DFC2">
                <wp:extent cx="1781175" cy="489328"/>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89328"/>
                        </a:xfrm>
                        <a:prstGeom prst="rect">
                          <a:avLst/>
                        </a:prstGeom>
                        <a:noFill/>
                      </pic:spPr>
                    </pic:pic>
                  </a:graphicData>
                </a:graphic>
              </wp:inline>
            </w:drawing>
          </w:r>
        </w:p>
      </w:tc>
      <w:tc>
        <w:tcPr>
          <w:tcW w:w="3137" w:type="dxa"/>
          <w:vAlign w:val="bottom"/>
        </w:tcPr>
        <w:p w:rsidR="004E04AE" w:rsidRPr="001225C5" w:rsidRDefault="00992275" w:rsidP="0072023A">
          <w:pPr>
            <w:pStyle w:val="Piedepgina1"/>
            <w:ind w:left="708"/>
            <w:rPr>
              <w:rFonts w:ascii="Arial" w:hAnsi="Arial" w:cs="Arial"/>
              <w:b/>
              <w:i/>
              <w:sz w:val="18"/>
              <w:szCs w:val="18"/>
              <w:lang w:val="fr-BE"/>
            </w:rPr>
          </w:pPr>
          <w:r w:rsidRPr="001225C5">
            <w:rPr>
              <w:rFonts w:ascii="Arial" w:hAnsi="Arial" w:cs="Arial"/>
              <w:b/>
              <w:i/>
              <w:sz w:val="18"/>
              <w:szCs w:val="18"/>
              <w:lang w:val="fr-BE"/>
            </w:rPr>
            <w:t>Délégation à Bruxelles</w:t>
          </w:r>
        </w:p>
        <w:p w:rsidR="004E04AE" w:rsidRPr="001225C5" w:rsidRDefault="00992275" w:rsidP="001225C5">
          <w:pPr>
            <w:pStyle w:val="Piedepgina1"/>
            <w:ind w:left="708"/>
            <w:rPr>
              <w:rFonts w:ascii="Arial" w:hAnsi="Arial" w:cs="Arial"/>
              <w:b/>
              <w:i/>
              <w:sz w:val="18"/>
              <w:szCs w:val="18"/>
              <w:lang w:val="fr-BE"/>
            </w:rPr>
          </w:pPr>
          <w:proofErr w:type="spellStart"/>
          <w:r w:rsidRPr="001225C5">
            <w:rPr>
              <w:rFonts w:ascii="Arial" w:hAnsi="Arial" w:cs="Arial"/>
              <w:b/>
              <w:i/>
              <w:sz w:val="18"/>
              <w:szCs w:val="18"/>
              <w:lang w:val="fr-BE"/>
            </w:rPr>
            <w:t>Delegación</w:t>
          </w:r>
          <w:proofErr w:type="spellEnd"/>
          <w:r w:rsidRPr="001225C5">
            <w:rPr>
              <w:rFonts w:ascii="Arial" w:hAnsi="Arial" w:cs="Arial"/>
              <w:b/>
              <w:i/>
              <w:sz w:val="18"/>
              <w:szCs w:val="18"/>
              <w:lang w:val="fr-BE"/>
            </w:rPr>
            <w:t xml:space="preserve"> en </w:t>
          </w:r>
          <w:r>
            <w:rPr>
              <w:rFonts w:ascii="Arial" w:hAnsi="Arial" w:cs="Arial"/>
              <w:b/>
              <w:i/>
              <w:sz w:val="18"/>
              <w:szCs w:val="18"/>
              <w:lang w:val="fr-BE"/>
            </w:rPr>
            <w:t>B</w:t>
          </w:r>
          <w:r w:rsidRPr="001225C5">
            <w:rPr>
              <w:rFonts w:ascii="Arial" w:hAnsi="Arial" w:cs="Arial"/>
              <w:b/>
              <w:i/>
              <w:sz w:val="18"/>
              <w:szCs w:val="18"/>
              <w:lang w:val="fr-BE"/>
            </w:rPr>
            <w:t>ruselas</w:t>
          </w:r>
        </w:p>
      </w:tc>
    </w:tr>
  </w:tbl>
  <w:p w:rsidR="004E04AE" w:rsidRPr="004E04AE" w:rsidRDefault="00BB1C81">
    <w:pPr>
      <w:pStyle w:val="Piedepgina1"/>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C81" w:rsidRDefault="00BB1C81">
      <w:pPr>
        <w:spacing w:after="0" w:line="240" w:lineRule="auto"/>
      </w:pPr>
      <w:r>
        <w:separator/>
      </w:r>
    </w:p>
  </w:footnote>
  <w:footnote w:type="continuationSeparator" w:id="0">
    <w:p w:rsidR="00BB1C81" w:rsidRDefault="00BB1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4E04AE" w:rsidTr="0072023A">
      <w:tc>
        <w:tcPr>
          <w:tcW w:w="4322" w:type="dxa"/>
          <w:vAlign w:val="center"/>
        </w:tcPr>
        <w:p w:rsidR="004E04AE" w:rsidRPr="004E20C4" w:rsidRDefault="00992275" w:rsidP="0072023A">
          <w:pPr>
            <w:pStyle w:val="Encabezado1"/>
            <w:rPr>
              <w:b/>
              <w:i/>
              <w:sz w:val="16"/>
              <w:szCs w:val="16"/>
            </w:rPr>
          </w:pPr>
          <w:r w:rsidRPr="004E20C4">
            <w:rPr>
              <w:b/>
              <w:i/>
              <w:sz w:val="16"/>
              <w:szCs w:val="16"/>
            </w:rPr>
            <w:t xml:space="preserve">Ficha resumen – </w:t>
          </w:r>
          <w:proofErr w:type="spellStart"/>
          <w:r w:rsidRPr="004E20C4">
            <w:rPr>
              <w:b/>
              <w:i/>
              <w:sz w:val="16"/>
              <w:szCs w:val="16"/>
            </w:rPr>
            <w:t>laburpena</w:t>
          </w:r>
          <w:proofErr w:type="spellEnd"/>
        </w:p>
      </w:tc>
      <w:tc>
        <w:tcPr>
          <w:tcW w:w="4322" w:type="dxa"/>
        </w:tcPr>
        <w:p w:rsidR="004E04AE" w:rsidRDefault="00BB1C81" w:rsidP="0072023A">
          <w:pPr>
            <w:pStyle w:val="Encabezado1"/>
            <w:ind w:left="2832"/>
          </w:pPr>
        </w:p>
      </w:tc>
    </w:tr>
  </w:tbl>
  <w:p w:rsidR="004E04AE" w:rsidRDefault="00992275" w:rsidP="001225C5">
    <w:pPr>
      <w:pStyle w:val="Encabezado1"/>
      <w:jc w:val="right"/>
    </w:pPr>
    <w:r>
      <w:rPr>
        <w:noProof/>
        <w:lang w:eastAsia="es-ES"/>
      </w:rPr>
      <w:drawing>
        <wp:inline distT="0" distB="0" distL="0" distR="0" wp14:anchorId="3DF0BAC7" wp14:editId="573A29C0">
          <wp:extent cx="942975" cy="352425"/>
          <wp:effectExtent l="0" t="0" r="9525" b="9525"/>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1"/>
                  <a:stretch>
                    <a:fillRect/>
                  </a:stretch>
                </pic:blipFill>
                <pic:spPr>
                  <a:xfrm>
                    <a:off x="0" y="0"/>
                    <a:ext cx="942975" cy="352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787"/>
    <w:multiLevelType w:val="hybridMultilevel"/>
    <w:tmpl w:val="4E5482B8"/>
    <w:lvl w:ilvl="0" w:tplc="226E61DA">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8D00BB"/>
    <w:multiLevelType w:val="hybridMultilevel"/>
    <w:tmpl w:val="8ED62B5C"/>
    <w:lvl w:ilvl="0" w:tplc="619C2256">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887273"/>
    <w:multiLevelType w:val="hybridMultilevel"/>
    <w:tmpl w:val="78908AE4"/>
    <w:lvl w:ilvl="0" w:tplc="812AA760">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160D7D"/>
    <w:multiLevelType w:val="hybridMultilevel"/>
    <w:tmpl w:val="7CB228DC"/>
    <w:lvl w:ilvl="0" w:tplc="9EBC01CE">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756341"/>
    <w:multiLevelType w:val="hybridMultilevel"/>
    <w:tmpl w:val="022837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604335F"/>
    <w:multiLevelType w:val="multilevel"/>
    <w:tmpl w:val="F0EE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D4920"/>
    <w:multiLevelType w:val="hybridMultilevel"/>
    <w:tmpl w:val="9DAC5C6E"/>
    <w:lvl w:ilvl="0" w:tplc="9A203B0C">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DC7457"/>
    <w:multiLevelType w:val="hybridMultilevel"/>
    <w:tmpl w:val="2EB4FA64"/>
    <w:lvl w:ilvl="0" w:tplc="44EEAA50">
      <w:start w:val="2"/>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C411B0B"/>
    <w:multiLevelType w:val="multilevel"/>
    <w:tmpl w:val="412C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D33C1"/>
    <w:multiLevelType w:val="hybridMultilevel"/>
    <w:tmpl w:val="B040010A"/>
    <w:lvl w:ilvl="0" w:tplc="E4646C7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9E24767"/>
    <w:multiLevelType w:val="hybridMultilevel"/>
    <w:tmpl w:val="0DCA5B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72742EE7"/>
    <w:multiLevelType w:val="multilevel"/>
    <w:tmpl w:val="214A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A66EFE"/>
    <w:multiLevelType w:val="multilevel"/>
    <w:tmpl w:val="89DC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0"/>
  </w:num>
  <w:num w:numId="4">
    <w:abstractNumId w:val="5"/>
  </w:num>
  <w:num w:numId="5">
    <w:abstractNumId w:val="8"/>
  </w:num>
  <w:num w:numId="6">
    <w:abstractNumId w:val="12"/>
  </w:num>
  <w:num w:numId="7">
    <w:abstractNumId w:val="11"/>
  </w:num>
  <w:num w:numId="8">
    <w:abstractNumId w:val="6"/>
  </w:num>
  <w:num w:numId="9">
    <w:abstractNumId w:val="3"/>
  </w:num>
  <w:num w:numId="10">
    <w:abstractNumId w:val="2"/>
  </w:num>
  <w:num w:numId="11">
    <w:abstractNumId w:val="1"/>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62"/>
    <w:rsid w:val="00012B66"/>
    <w:rsid w:val="000979A4"/>
    <w:rsid w:val="000C6186"/>
    <w:rsid w:val="00105170"/>
    <w:rsid w:val="00125879"/>
    <w:rsid w:val="001338C8"/>
    <w:rsid w:val="00170DEF"/>
    <w:rsid w:val="001A1E46"/>
    <w:rsid w:val="001B7BFA"/>
    <w:rsid w:val="001C4426"/>
    <w:rsid w:val="001D24C6"/>
    <w:rsid w:val="001F4DF5"/>
    <w:rsid w:val="002177CC"/>
    <w:rsid w:val="00221545"/>
    <w:rsid w:val="00234D03"/>
    <w:rsid w:val="00251E4A"/>
    <w:rsid w:val="00274CCD"/>
    <w:rsid w:val="00275FB4"/>
    <w:rsid w:val="00296D47"/>
    <w:rsid w:val="002C5A5F"/>
    <w:rsid w:val="002C65B6"/>
    <w:rsid w:val="002E1586"/>
    <w:rsid w:val="002F38A2"/>
    <w:rsid w:val="00312A51"/>
    <w:rsid w:val="00313382"/>
    <w:rsid w:val="003165FB"/>
    <w:rsid w:val="00327F3A"/>
    <w:rsid w:val="003328DC"/>
    <w:rsid w:val="00337D2B"/>
    <w:rsid w:val="00372CCC"/>
    <w:rsid w:val="00385E62"/>
    <w:rsid w:val="003925BF"/>
    <w:rsid w:val="003B0CB0"/>
    <w:rsid w:val="003E00C7"/>
    <w:rsid w:val="004148F8"/>
    <w:rsid w:val="004B3AB6"/>
    <w:rsid w:val="004C6360"/>
    <w:rsid w:val="004D1D28"/>
    <w:rsid w:val="004E2AF7"/>
    <w:rsid w:val="00500186"/>
    <w:rsid w:val="00521B0A"/>
    <w:rsid w:val="00587539"/>
    <w:rsid w:val="005A3F0E"/>
    <w:rsid w:val="005A44E2"/>
    <w:rsid w:val="005D436F"/>
    <w:rsid w:val="005D5172"/>
    <w:rsid w:val="00635E94"/>
    <w:rsid w:val="0065131B"/>
    <w:rsid w:val="00665D5B"/>
    <w:rsid w:val="006A6A4B"/>
    <w:rsid w:val="00700D0D"/>
    <w:rsid w:val="00731378"/>
    <w:rsid w:val="00771E86"/>
    <w:rsid w:val="00794CB6"/>
    <w:rsid w:val="007B213D"/>
    <w:rsid w:val="007D5767"/>
    <w:rsid w:val="007D6208"/>
    <w:rsid w:val="00807877"/>
    <w:rsid w:val="00841E05"/>
    <w:rsid w:val="008433AB"/>
    <w:rsid w:val="008521E4"/>
    <w:rsid w:val="008B6830"/>
    <w:rsid w:val="009114C7"/>
    <w:rsid w:val="00936F80"/>
    <w:rsid w:val="00963880"/>
    <w:rsid w:val="00973358"/>
    <w:rsid w:val="00992275"/>
    <w:rsid w:val="009C21FB"/>
    <w:rsid w:val="00A00CB1"/>
    <w:rsid w:val="00A10539"/>
    <w:rsid w:val="00A37670"/>
    <w:rsid w:val="00A6260D"/>
    <w:rsid w:val="00A64F33"/>
    <w:rsid w:val="00A81D99"/>
    <w:rsid w:val="00A86128"/>
    <w:rsid w:val="00A901B2"/>
    <w:rsid w:val="00AA0876"/>
    <w:rsid w:val="00AA2C38"/>
    <w:rsid w:val="00AB6C81"/>
    <w:rsid w:val="00AD3FCA"/>
    <w:rsid w:val="00AF5BAF"/>
    <w:rsid w:val="00B0002C"/>
    <w:rsid w:val="00B0354B"/>
    <w:rsid w:val="00B14B1F"/>
    <w:rsid w:val="00B27626"/>
    <w:rsid w:val="00B47034"/>
    <w:rsid w:val="00B556A7"/>
    <w:rsid w:val="00B71DF5"/>
    <w:rsid w:val="00BB1C81"/>
    <w:rsid w:val="00C17B67"/>
    <w:rsid w:val="00CE41B8"/>
    <w:rsid w:val="00CF0AE1"/>
    <w:rsid w:val="00D05366"/>
    <w:rsid w:val="00D11C77"/>
    <w:rsid w:val="00D44D0C"/>
    <w:rsid w:val="00D83639"/>
    <w:rsid w:val="00D86BC6"/>
    <w:rsid w:val="00E0098F"/>
    <w:rsid w:val="00E14DD4"/>
    <w:rsid w:val="00E221CA"/>
    <w:rsid w:val="00E42496"/>
    <w:rsid w:val="00E44DC2"/>
    <w:rsid w:val="00E456E9"/>
    <w:rsid w:val="00E866BE"/>
    <w:rsid w:val="00EE0F3D"/>
    <w:rsid w:val="00EE2A18"/>
    <w:rsid w:val="00EF1090"/>
    <w:rsid w:val="00F00591"/>
    <w:rsid w:val="00F01168"/>
    <w:rsid w:val="00F07BEF"/>
    <w:rsid w:val="00F270BC"/>
    <w:rsid w:val="00F46617"/>
    <w:rsid w:val="00F57B62"/>
    <w:rsid w:val="00F832D9"/>
    <w:rsid w:val="00FA7CD1"/>
    <w:rsid w:val="00FC76D4"/>
    <w:rsid w:val="00FD09EC"/>
    <w:rsid w:val="00FD36D1"/>
    <w:rsid w:val="00FE5F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FC95"/>
  <w15:docId w15:val="{487C985E-19DB-4576-8C12-ECD7842A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39"/>
    <w:rsid w:val="00F57B62"/>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1">
    <w:name w:val="Encabezado1"/>
    <w:basedOn w:val="Normal"/>
    <w:next w:val="Encabezado"/>
    <w:link w:val="EncabezadoCar"/>
    <w:uiPriority w:val="99"/>
    <w:unhideWhenUsed/>
    <w:rsid w:val="00F57B62"/>
    <w:pPr>
      <w:tabs>
        <w:tab w:val="center" w:pos="4252"/>
        <w:tab w:val="right" w:pos="8504"/>
      </w:tabs>
      <w:spacing w:after="0" w:line="240" w:lineRule="auto"/>
    </w:pPr>
  </w:style>
  <w:style w:type="character" w:customStyle="1" w:styleId="EncabezadoCar">
    <w:name w:val="Encabezado Car"/>
    <w:basedOn w:val="Fuentedeprrafopredeter"/>
    <w:link w:val="Encabezado1"/>
    <w:uiPriority w:val="99"/>
    <w:rsid w:val="00F57B62"/>
  </w:style>
  <w:style w:type="paragraph" w:customStyle="1" w:styleId="Piedepgina1">
    <w:name w:val="Pie de página1"/>
    <w:basedOn w:val="Normal"/>
    <w:next w:val="Piedepgina"/>
    <w:link w:val="PiedepginaCar"/>
    <w:uiPriority w:val="99"/>
    <w:unhideWhenUsed/>
    <w:rsid w:val="00F57B62"/>
    <w:pPr>
      <w:tabs>
        <w:tab w:val="center" w:pos="4252"/>
        <w:tab w:val="right" w:pos="8504"/>
      </w:tabs>
      <w:spacing w:after="0" w:line="240" w:lineRule="auto"/>
    </w:pPr>
  </w:style>
  <w:style w:type="character" w:customStyle="1" w:styleId="PiedepginaCar">
    <w:name w:val="Pie de página Car"/>
    <w:basedOn w:val="Fuentedeprrafopredeter"/>
    <w:link w:val="Piedepgina1"/>
    <w:uiPriority w:val="99"/>
    <w:rsid w:val="00F57B62"/>
  </w:style>
  <w:style w:type="table" w:customStyle="1" w:styleId="Cuadrculamedia1-nfasis11">
    <w:name w:val="Cuadrícula media 1 - Énfasis 11"/>
    <w:basedOn w:val="Tablanormal"/>
    <w:next w:val="Cuadrculamedia1-nfasis1"/>
    <w:uiPriority w:val="67"/>
    <w:rsid w:val="00F57B62"/>
    <w:pPr>
      <w:spacing w:after="0" w:line="240" w:lineRule="auto"/>
    </w:pPr>
    <w:rPr>
      <w:sz w:val="24"/>
      <w:szCs w:val="24"/>
      <w:lang w:val="es-ES_tradnl"/>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Tablaconcuadrcula">
    <w:name w:val="Table Grid"/>
    <w:basedOn w:val="Tablanormal"/>
    <w:uiPriority w:val="59"/>
    <w:rsid w:val="00F5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iPriority w:val="99"/>
    <w:semiHidden/>
    <w:unhideWhenUsed/>
    <w:rsid w:val="00F57B62"/>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semiHidden/>
    <w:rsid w:val="00F57B62"/>
  </w:style>
  <w:style w:type="paragraph" w:styleId="Piedepgina">
    <w:name w:val="footer"/>
    <w:basedOn w:val="Normal"/>
    <w:link w:val="PiedepginaCar1"/>
    <w:uiPriority w:val="99"/>
    <w:semiHidden/>
    <w:unhideWhenUsed/>
    <w:rsid w:val="00F57B62"/>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semiHidden/>
    <w:rsid w:val="00F57B62"/>
  </w:style>
  <w:style w:type="table" w:styleId="Cuadrculamedia1-nfasis1">
    <w:name w:val="Medium Grid 1 Accent 1"/>
    <w:basedOn w:val="Tablanormal"/>
    <w:uiPriority w:val="67"/>
    <w:rsid w:val="00F57B6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odeglobo">
    <w:name w:val="Balloon Text"/>
    <w:basedOn w:val="Normal"/>
    <w:link w:val="TextodegloboCar"/>
    <w:uiPriority w:val="99"/>
    <w:semiHidden/>
    <w:unhideWhenUsed/>
    <w:rsid w:val="00F57B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7B62"/>
    <w:rPr>
      <w:rFonts w:ascii="Tahoma" w:hAnsi="Tahoma" w:cs="Tahoma"/>
      <w:sz w:val="16"/>
      <w:szCs w:val="16"/>
    </w:rPr>
  </w:style>
  <w:style w:type="character" w:styleId="Hipervnculo">
    <w:name w:val="Hyperlink"/>
    <w:basedOn w:val="Fuentedeprrafopredeter"/>
    <w:uiPriority w:val="99"/>
    <w:unhideWhenUsed/>
    <w:rsid w:val="00372CCC"/>
    <w:rPr>
      <w:color w:val="0000FF" w:themeColor="hyperlink"/>
      <w:u w:val="single"/>
    </w:rPr>
  </w:style>
  <w:style w:type="paragraph" w:styleId="Prrafodelista">
    <w:name w:val="List Paragraph"/>
    <w:basedOn w:val="Normal"/>
    <w:uiPriority w:val="34"/>
    <w:qFormat/>
    <w:rsid w:val="005D5172"/>
    <w:pPr>
      <w:ind w:left="720"/>
      <w:contextualSpacing/>
    </w:pPr>
  </w:style>
  <w:style w:type="character" w:styleId="Hipervnculovisitado">
    <w:name w:val="FollowedHyperlink"/>
    <w:basedOn w:val="Fuentedeprrafopredeter"/>
    <w:uiPriority w:val="99"/>
    <w:semiHidden/>
    <w:unhideWhenUsed/>
    <w:rsid w:val="009638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64244">
      <w:bodyDiv w:val="1"/>
      <w:marLeft w:val="0"/>
      <w:marRight w:val="0"/>
      <w:marTop w:val="0"/>
      <w:marBottom w:val="0"/>
      <w:divBdr>
        <w:top w:val="none" w:sz="0" w:space="0" w:color="auto"/>
        <w:left w:val="none" w:sz="0" w:space="0" w:color="auto"/>
        <w:bottom w:val="none" w:sz="0" w:space="0" w:color="auto"/>
        <w:right w:val="none" w:sz="0" w:space="0" w:color="auto"/>
      </w:divBdr>
    </w:div>
    <w:div w:id="826020317">
      <w:bodyDiv w:val="1"/>
      <w:marLeft w:val="0"/>
      <w:marRight w:val="0"/>
      <w:marTop w:val="0"/>
      <w:marBottom w:val="0"/>
      <w:divBdr>
        <w:top w:val="none" w:sz="0" w:space="0" w:color="auto"/>
        <w:left w:val="none" w:sz="0" w:space="0" w:color="auto"/>
        <w:bottom w:val="none" w:sz="0" w:space="0" w:color="auto"/>
        <w:right w:val="none" w:sz="0" w:space="0" w:color="auto"/>
      </w:divBdr>
    </w:div>
    <w:div w:id="1137255817">
      <w:bodyDiv w:val="1"/>
      <w:marLeft w:val="0"/>
      <w:marRight w:val="0"/>
      <w:marTop w:val="0"/>
      <w:marBottom w:val="0"/>
      <w:divBdr>
        <w:top w:val="none" w:sz="0" w:space="0" w:color="auto"/>
        <w:left w:val="none" w:sz="0" w:space="0" w:color="auto"/>
        <w:bottom w:val="none" w:sz="0" w:space="0" w:color="auto"/>
        <w:right w:val="none" w:sz="0" w:space="0" w:color="auto"/>
      </w:divBdr>
    </w:div>
    <w:div w:id="164817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participants/portal/desktop/en/opportunities/h2020/topics/4082-scc-1-2016-201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europa.eu/research/participants/data/ref/h2020/other/wp/2016-2017/annexes/h2020-wp1617-annex-a-countries-rules_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c.europa.eu/research/participants/portal/desktop/en/opportunities/h2020/calls/h2020-scc-2016-2017.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Pages>
  <Words>567</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FIGUEROA, Ana</dc:creator>
  <cp:lastModifiedBy>Becario NAVARRA (ELEXPE BASTIDA,Oscar</cp:lastModifiedBy>
  <cp:revision>52</cp:revision>
  <dcterms:created xsi:type="dcterms:W3CDTF">2016-01-29T14:13:00Z</dcterms:created>
  <dcterms:modified xsi:type="dcterms:W3CDTF">2016-06-07T09:10:00Z</dcterms:modified>
</cp:coreProperties>
</file>