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1"/>
        <w:tblW w:w="10173" w:type="dxa"/>
        <w:tblLook w:val="04A0" w:firstRow="1" w:lastRow="0" w:firstColumn="1" w:lastColumn="0" w:noHBand="0" w:noVBand="1"/>
      </w:tblPr>
      <w:tblGrid>
        <w:gridCol w:w="10173"/>
      </w:tblGrid>
      <w:tr w:rsidR="00F57B62" w:rsidRPr="00F57B62" w:rsidTr="00873206">
        <w:tc>
          <w:tcPr>
            <w:tcW w:w="10173" w:type="dxa"/>
          </w:tcPr>
          <w:p w:rsidR="00F57B62" w:rsidRPr="00E14DD4" w:rsidRDefault="001A7AA5" w:rsidP="008219DA">
            <w:pPr>
              <w:pBdr>
                <w:top w:val="single" w:sz="6" w:space="1" w:color="auto"/>
                <w:bottom w:val="single" w:sz="6" w:space="1" w:color="auto"/>
              </w:pBdr>
              <w:jc w:val="center"/>
              <w:rPr>
                <w:rFonts w:ascii="Calibri" w:eastAsia="Calibri" w:hAnsi="Calibri" w:cs="Times New Roman"/>
                <w:b/>
                <w:bCs/>
                <w:color w:val="4472C4"/>
                <w:sz w:val="36"/>
                <w:szCs w:val="36"/>
              </w:rPr>
            </w:pPr>
            <w:r>
              <w:rPr>
                <w:rFonts w:ascii="Calibri" w:eastAsia="Calibri" w:hAnsi="Calibri" w:cs="Times New Roman"/>
                <w:b/>
                <w:color w:val="4472C4"/>
                <w:sz w:val="36"/>
                <w:szCs w:val="36"/>
              </w:rPr>
              <w:t>Participación de los consumidores privados hacía la energía sostenible</w:t>
            </w:r>
            <w:r w:rsidR="00F57B62" w:rsidRPr="00F57B62">
              <w:rPr>
                <w:rFonts w:ascii="Calibri" w:eastAsia="Calibri" w:hAnsi="Calibri" w:cs="Times New Roman"/>
                <w:b/>
                <w:color w:val="4472C4"/>
                <w:sz w:val="36"/>
                <w:szCs w:val="36"/>
              </w:rPr>
              <w:t>- FICHA TÉCNICA</w:t>
            </w:r>
          </w:p>
        </w:tc>
      </w:tr>
    </w:tbl>
    <w:p w:rsidR="00F57B62" w:rsidRPr="00F57B62" w:rsidRDefault="00F57B62" w:rsidP="00F57B62">
      <w:pPr>
        <w:pBdr>
          <w:top w:val="single" w:sz="6" w:space="1" w:color="auto"/>
          <w:bottom w:val="single" w:sz="6" w:space="1" w:color="auto"/>
        </w:pBdr>
        <w:spacing w:after="0" w:line="240" w:lineRule="auto"/>
        <w:rPr>
          <w:rFonts w:ascii="Calibri" w:eastAsia="Calibri" w:hAnsi="Calibri" w:cs="Times New Roman"/>
          <w:sz w:val="24"/>
          <w:szCs w:val="24"/>
        </w:rPr>
      </w:pPr>
    </w:p>
    <w:tbl>
      <w:tblPr>
        <w:tblStyle w:val="Cuadrculamedia1-nfasis11"/>
        <w:tblW w:w="10173" w:type="dxa"/>
        <w:tblLook w:val="04A0" w:firstRow="1" w:lastRow="0" w:firstColumn="1" w:lastColumn="0" w:noHBand="0" w:noVBand="1"/>
      </w:tblPr>
      <w:tblGrid>
        <w:gridCol w:w="1809"/>
        <w:gridCol w:w="8364"/>
      </w:tblGrid>
      <w:tr w:rsidR="00F57B62" w:rsidRPr="00F57B62" w:rsidTr="008732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F57B62" w:rsidRPr="00F57B62" w:rsidRDefault="00F57B62" w:rsidP="00F57B62">
            <w:pPr>
              <w:rPr>
                <w:rFonts w:ascii="Calibri" w:eastAsia="Calibri" w:hAnsi="Calibri" w:cs="Times New Roman"/>
              </w:rPr>
            </w:pPr>
            <w:r w:rsidRPr="00F57B62">
              <w:rPr>
                <w:rFonts w:ascii="Calibri" w:eastAsia="Calibri" w:hAnsi="Calibri" w:cs="Times New Roman"/>
              </w:rPr>
              <w:t xml:space="preserve">Objeto de la </w:t>
            </w:r>
            <w:r>
              <w:rPr>
                <w:rFonts w:ascii="Calibri" w:eastAsia="Calibri" w:hAnsi="Calibri" w:cs="Times New Roman"/>
              </w:rPr>
              <w:t>s</w:t>
            </w:r>
            <w:r w:rsidRPr="00F57B62">
              <w:rPr>
                <w:rFonts w:ascii="Calibri" w:eastAsia="Calibri" w:hAnsi="Calibri" w:cs="Times New Roman"/>
              </w:rPr>
              <w:t>ubvención</w:t>
            </w:r>
          </w:p>
        </w:tc>
        <w:tc>
          <w:tcPr>
            <w:tcW w:w="8364" w:type="dxa"/>
          </w:tcPr>
          <w:p w:rsidR="001A7AA5" w:rsidRPr="001A7AA5" w:rsidRDefault="001A7AA5" w:rsidP="001A7AA5">
            <w:pPr>
              <w:contextualSpacing/>
              <w:cnfStyle w:val="100000000000" w:firstRow="1" w:lastRow="0" w:firstColumn="0" w:lastColumn="0" w:oddVBand="0" w:evenVBand="0" w:oddHBand="0" w:evenHBand="0" w:firstRowFirstColumn="0" w:firstRowLastColumn="0" w:lastRowFirstColumn="0" w:lastRowLastColumn="0"/>
              <w:rPr>
                <w:rFonts w:eastAsia="Calibri" w:cs="Times New Roman"/>
                <w:b w:val="0"/>
              </w:rPr>
            </w:pPr>
            <w:r w:rsidRPr="001A7AA5">
              <w:rPr>
                <w:rFonts w:eastAsia="Calibri" w:cs="Times New Roman"/>
                <w:b w:val="0"/>
              </w:rPr>
              <w:t xml:space="preserve">Los consumidores deben ser </w:t>
            </w:r>
            <w:r w:rsidR="00BF63D2">
              <w:rPr>
                <w:rFonts w:eastAsia="Calibri" w:cs="Times New Roman"/>
                <w:b w:val="0"/>
              </w:rPr>
              <w:t xml:space="preserve">considerados </w:t>
            </w:r>
            <w:r w:rsidRPr="001A7AA5">
              <w:rPr>
                <w:rFonts w:eastAsia="Calibri" w:cs="Times New Roman"/>
                <w:b w:val="0"/>
              </w:rPr>
              <w:t>el corazón del sistema de energía y convertirse en agentes activos del mercado. El futuro de</w:t>
            </w:r>
            <w:r w:rsidR="00BF63D2">
              <w:rPr>
                <w:rFonts w:eastAsia="Calibri" w:cs="Times New Roman"/>
                <w:b w:val="0"/>
              </w:rPr>
              <w:t>l</w:t>
            </w:r>
            <w:r w:rsidRPr="001A7AA5">
              <w:rPr>
                <w:rFonts w:eastAsia="Calibri" w:cs="Times New Roman"/>
                <w:b w:val="0"/>
              </w:rPr>
              <w:t xml:space="preserve"> consumo privado de</w:t>
            </w:r>
            <w:r w:rsidR="00BF63D2">
              <w:rPr>
                <w:rFonts w:eastAsia="Calibri" w:cs="Times New Roman"/>
                <w:b w:val="0"/>
              </w:rPr>
              <w:t>bería ser más consciente, activo</w:t>
            </w:r>
            <w:r w:rsidRPr="001A7AA5">
              <w:rPr>
                <w:rFonts w:eastAsia="Calibri" w:cs="Times New Roman"/>
                <w:b w:val="0"/>
              </w:rPr>
              <w:t xml:space="preserve">, suficiente energía, además de ser un </w:t>
            </w:r>
            <w:r w:rsidR="00BF63D2">
              <w:rPr>
                <w:rFonts w:eastAsia="Calibri" w:cs="Times New Roman"/>
                <w:b w:val="0"/>
              </w:rPr>
              <w:t>productor-consumidor,</w:t>
            </w:r>
            <w:r w:rsidRPr="001A7AA5">
              <w:rPr>
                <w:rFonts w:eastAsia="Calibri" w:cs="Times New Roman"/>
                <w:b w:val="0"/>
              </w:rPr>
              <w:t xml:space="preserve"> la producción de energía para su propio consumo, siempre que sea posible. Por otra parte, en vista del aumento de los precios de la energía, los consumidores están gastando una mayor proporción de sus ingresos en energía, con estimaciones que indica que más de 50 millones de europeos se ven afec</w:t>
            </w:r>
            <w:r w:rsidR="00BF63D2">
              <w:rPr>
                <w:rFonts w:eastAsia="Calibri" w:cs="Times New Roman"/>
                <w:b w:val="0"/>
              </w:rPr>
              <w:t xml:space="preserve">tados por la pobreza energética. </w:t>
            </w:r>
            <w:r w:rsidRPr="001A7AA5">
              <w:rPr>
                <w:rFonts w:eastAsia="Calibri" w:cs="Times New Roman"/>
                <w:b w:val="0"/>
              </w:rPr>
              <w:t>La eficiencia energética, el ahorro de energía y un mayor uso de la producción local, incluyendo la propia energía producida, renovable son herramientas clave para abo</w:t>
            </w:r>
            <w:r w:rsidR="00B04FEA">
              <w:rPr>
                <w:rFonts w:eastAsia="Calibri" w:cs="Times New Roman"/>
                <w:b w:val="0"/>
              </w:rPr>
              <w:t>rdar la escasez de combustible.</w:t>
            </w:r>
          </w:p>
          <w:p w:rsidR="00F57B62" w:rsidRPr="00385E62" w:rsidRDefault="001A7AA5" w:rsidP="001A7AA5">
            <w:pPr>
              <w:contextualSpacing/>
              <w:cnfStyle w:val="100000000000" w:firstRow="1" w:lastRow="0" w:firstColumn="0" w:lastColumn="0" w:oddVBand="0" w:evenVBand="0" w:oddHBand="0" w:evenHBand="0" w:firstRowFirstColumn="0" w:firstRowLastColumn="0" w:lastRowFirstColumn="0" w:lastRowLastColumn="0"/>
              <w:rPr>
                <w:rFonts w:eastAsia="Calibri" w:cs="Times New Roman"/>
                <w:b w:val="0"/>
              </w:rPr>
            </w:pPr>
            <w:r w:rsidRPr="001A7AA5">
              <w:rPr>
                <w:rFonts w:eastAsia="Calibri" w:cs="Times New Roman"/>
                <w:b w:val="0"/>
              </w:rPr>
              <w:t>En este contexto, las acciones de compromiso se necesitan en toda Europa con el fin de lograr un cambio de comportamiento hacia alternativas más sostenibles y decisiones para la energía. Esto incluye el aumento y la comprensión de 'apetito' de los consumidores de</w:t>
            </w:r>
            <w:r w:rsidR="00B04FEA">
              <w:rPr>
                <w:rFonts w:eastAsia="Calibri" w:cs="Times New Roman"/>
                <w:b w:val="0"/>
              </w:rPr>
              <w:t xml:space="preserve"> productos de mayor eficiencia.</w:t>
            </w:r>
          </w:p>
        </w:tc>
      </w:tr>
      <w:tr w:rsidR="00F57B62" w:rsidRPr="00F57B62" w:rsidTr="00873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F57B62" w:rsidRPr="00F57B62" w:rsidRDefault="00F57B62" w:rsidP="00F57B62">
            <w:pPr>
              <w:rPr>
                <w:rFonts w:ascii="Calibri" w:eastAsia="Calibri" w:hAnsi="Calibri" w:cs="Times New Roman"/>
              </w:rPr>
            </w:pPr>
            <w:r w:rsidRPr="00F57B62">
              <w:rPr>
                <w:rFonts w:ascii="Calibri" w:eastAsia="Calibri" w:hAnsi="Calibri" w:cs="Times New Roman"/>
              </w:rPr>
              <w:t>Plazos</w:t>
            </w:r>
          </w:p>
        </w:tc>
        <w:tc>
          <w:tcPr>
            <w:tcW w:w="8364" w:type="dxa"/>
          </w:tcPr>
          <w:p w:rsidR="00F57B62" w:rsidRPr="00F57B62" w:rsidRDefault="001623F6" w:rsidP="001A7AA5">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Pr>
                <w:rFonts w:ascii="Calibri" w:eastAsia="Calibri" w:hAnsi="Calibri" w:cs="Times New Roman"/>
              </w:rPr>
              <w:t xml:space="preserve">Plazo de apertura: </w:t>
            </w:r>
            <w:r w:rsidR="001A7AA5">
              <w:rPr>
                <w:rFonts w:ascii="Calibri" w:eastAsia="Calibri" w:hAnsi="Calibri" w:cs="Times New Roman"/>
              </w:rPr>
              <w:t>15</w:t>
            </w:r>
            <w:r>
              <w:rPr>
                <w:rFonts w:ascii="Calibri" w:eastAsia="Calibri" w:hAnsi="Calibri" w:cs="Times New Roman"/>
              </w:rPr>
              <w:t xml:space="preserve"> de </w:t>
            </w:r>
            <w:r w:rsidR="001A7AA5">
              <w:rPr>
                <w:rFonts w:ascii="Calibri" w:eastAsia="Calibri" w:hAnsi="Calibri" w:cs="Times New Roman"/>
              </w:rPr>
              <w:t>Marzo</w:t>
            </w:r>
            <w:r>
              <w:rPr>
                <w:rFonts w:ascii="Calibri" w:eastAsia="Calibri" w:hAnsi="Calibri" w:cs="Times New Roman"/>
              </w:rPr>
              <w:t xml:space="preserve"> de 2016  - </w:t>
            </w:r>
            <w:r w:rsidR="004148F8">
              <w:rPr>
                <w:rFonts w:ascii="Calibri" w:eastAsia="Calibri" w:hAnsi="Calibri" w:cs="Times New Roman"/>
              </w:rPr>
              <w:t xml:space="preserve">Plazo de cierre: </w:t>
            </w:r>
            <w:r w:rsidR="001A7AA5">
              <w:rPr>
                <w:rFonts w:ascii="Calibri" w:eastAsia="Calibri" w:hAnsi="Calibri" w:cs="Times New Roman"/>
              </w:rPr>
              <w:t>15</w:t>
            </w:r>
            <w:r w:rsidR="004148F8">
              <w:rPr>
                <w:rFonts w:ascii="Calibri" w:eastAsia="Calibri" w:hAnsi="Calibri" w:cs="Times New Roman"/>
              </w:rPr>
              <w:t xml:space="preserve"> de </w:t>
            </w:r>
            <w:r w:rsidR="001A7AA5">
              <w:rPr>
                <w:rFonts w:ascii="Calibri" w:eastAsia="Calibri" w:hAnsi="Calibri" w:cs="Times New Roman"/>
              </w:rPr>
              <w:t>Septiembre de 2016</w:t>
            </w:r>
            <w:r w:rsidR="004148F8">
              <w:rPr>
                <w:rFonts w:ascii="Calibri" w:eastAsia="Calibri" w:hAnsi="Calibri" w:cs="Times New Roman"/>
              </w:rPr>
              <w:t>.</w:t>
            </w:r>
          </w:p>
        </w:tc>
      </w:tr>
      <w:tr w:rsidR="00F57B62" w:rsidRPr="00F57B62" w:rsidTr="00873206">
        <w:tc>
          <w:tcPr>
            <w:cnfStyle w:val="001000000000" w:firstRow="0" w:lastRow="0" w:firstColumn="1" w:lastColumn="0" w:oddVBand="0" w:evenVBand="0" w:oddHBand="0" w:evenHBand="0" w:firstRowFirstColumn="0" w:firstRowLastColumn="0" w:lastRowFirstColumn="0" w:lastRowLastColumn="0"/>
            <w:tcW w:w="1809" w:type="dxa"/>
          </w:tcPr>
          <w:p w:rsidR="00F57B62" w:rsidRPr="00F57B62" w:rsidRDefault="005E10AE" w:rsidP="00F57B62">
            <w:pPr>
              <w:rPr>
                <w:rFonts w:ascii="Calibri" w:eastAsia="Calibri" w:hAnsi="Calibri" w:cs="Times New Roman"/>
              </w:rPr>
            </w:pPr>
            <w:r>
              <w:rPr>
                <w:rFonts w:ascii="Calibri" w:eastAsia="Calibri" w:hAnsi="Calibri" w:cs="Times New Roman"/>
              </w:rPr>
              <w:t>Presupuesto</w:t>
            </w:r>
          </w:p>
        </w:tc>
        <w:tc>
          <w:tcPr>
            <w:tcW w:w="8364" w:type="dxa"/>
          </w:tcPr>
          <w:p w:rsidR="00EE2A18" w:rsidRPr="00B556A7" w:rsidRDefault="005E10AE" w:rsidP="00B556A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t xml:space="preserve">Una bolsa de </w:t>
            </w:r>
            <w:r w:rsidRPr="005E10AE">
              <w:rPr>
                <w:b/>
              </w:rPr>
              <w:t>4.000.000 €</w:t>
            </w:r>
          </w:p>
        </w:tc>
      </w:tr>
      <w:tr w:rsidR="00F57B62" w:rsidRPr="00F57B62" w:rsidTr="00873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F57B62" w:rsidRPr="00F57B62" w:rsidRDefault="00F57B62" w:rsidP="00F57B62">
            <w:pPr>
              <w:rPr>
                <w:rFonts w:ascii="Calibri" w:eastAsia="Calibri" w:hAnsi="Calibri" w:cs="Times New Roman"/>
              </w:rPr>
            </w:pPr>
            <w:r w:rsidRPr="00F57B62">
              <w:rPr>
                <w:rFonts w:ascii="Calibri" w:eastAsia="Calibri" w:hAnsi="Calibri" w:cs="Times New Roman"/>
              </w:rPr>
              <w:t>Observaciones</w:t>
            </w:r>
          </w:p>
        </w:tc>
        <w:tc>
          <w:tcPr>
            <w:tcW w:w="8364" w:type="dxa"/>
          </w:tcPr>
          <w:p w:rsidR="00E36E53" w:rsidRPr="00E36E53" w:rsidRDefault="00B04FEA" w:rsidP="00E36E5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Pr>
                <w:rFonts w:ascii="Calibri" w:eastAsia="Calibri" w:hAnsi="Calibri" w:cs="Times New Roman"/>
                <w:lang w:val="es-ES"/>
              </w:rPr>
              <w:t>-</w:t>
            </w:r>
            <w:r w:rsidR="00E36E53" w:rsidRPr="002608FB">
              <w:rPr>
                <w:rFonts w:ascii="Calibri" w:eastAsia="Calibri" w:hAnsi="Calibri" w:cs="Times New Roman"/>
                <w:b/>
                <w:lang w:val="es-ES"/>
              </w:rPr>
              <w:t>Potenciar y facilitar las acciones para que los consumidores se convierten en consumidores profesionales</w:t>
            </w:r>
            <w:r w:rsidR="00E36E53" w:rsidRPr="00E36E53">
              <w:rPr>
                <w:rFonts w:ascii="Calibri" w:eastAsia="Calibri" w:hAnsi="Calibri" w:cs="Times New Roman"/>
                <w:lang w:val="es-ES"/>
              </w:rPr>
              <w:t>, o para formar grupos c</w:t>
            </w:r>
            <w:r w:rsidR="00780F98">
              <w:rPr>
                <w:rFonts w:ascii="Calibri" w:eastAsia="Calibri" w:hAnsi="Calibri" w:cs="Times New Roman"/>
                <w:lang w:val="es-ES"/>
              </w:rPr>
              <w:t>olectivos de los consumidores/</w:t>
            </w:r>
            <w:r w:rsidR="00E36E53" w:rsidRPr="00E36E53">
              <w:rPr>
                <w:rFonts w:ascii="Calibri" w:eastAsia="Calibri" w:hAnsi="Calibri" w:cs="Times New Roman"/>
                <w:lang w:val="es-ES"/>
              </w:rPr>
              <w:t>cooperativas de consumo (frente a la eficiencia energética y / o energías renovables, y el almacenamiento de energía, en su caso, con un enfoque en la acción).</w:t>
            </w:r>
          </w:p>
          <w:p w:rsidR="00E36E53" w:rsidRPr="00E36E53" w:rsidRDefault="00780F98" w:rsidP="00E36E5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Pr>
                <w:rFonts w:ascii="Calibri" w:eastAsia="Calibri" w:hAnsi="Calibri" w:cs="Times New Roman"/>
                <w:lang w:val="es-ES"/>
              </w:rPr>
              <w:t>-</w:t>
            </w:r>
            <w:r w:rsidR="00E36E53" w:rsidRPr="002608FB">
              <w:rPr>
                <w:rFonts w:ascii="Calibri" w:eastAsia="Calibri" w:hAnsi="Calibri" w:cs="Times New Roman"/>
                <w:b/>
                <w:lang w:val="es-ES"/>
              </w:rPr>
              <w:t>Apoyar a grupos bien definidos de los consumidores vulnerables para hacer frente a la escasez de combustible</w:t>
            </w:r>
            <w:r w:rsidR="00E36E53" w:rsidRPr="00E36E53">
              <w:rPr>
                <w:rFonts w:ascii="Calibri" w:eastAsia="Calibri" w:hAnsi="Calibri" w:cs="Times New Roman"/>
                <w:lang w:val="es-ES"/>
              </w:rPr>
              <w:t xml:space="preserve">, facilitando el comportamiento energético más sostenible y más opciones en su vida diaria, sin comprometer los niveles de confort. </w:t>
            </w:r>
          </w:p>
          <w:p w:rsidR="00E36E53" w:rsidRPr="00E36E53" w:rsidRDefault="006C77FF" w:rsidP="00E36E5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Pr>
                <w:rFonts w:ascii="Calibri" w:eastAsia="Calibri" w:hAnsi="Calibri" w:cs="Times New Roman"/>
                <w:lang w:val="es-ES"/>
              </w:rPr>
              <w:t>-</w:t>
            </w:r>
            <w:r w:rsidR="00E36E53" w:rsidRPr="002608FB">
              <w:rPr>
                <w:rFonts w:ascii="Calibri" w:eastAsia="Calibri" w:hAnsi="Calibri" w:cs="Times New Roman"/>
                <w:b/>
                <w:lang w:val="es-ES"/>
              </w:rPr>
              <w:t>Facilitar el despliegue más amplio y la adopción de consumo de las soluciones existentes basadas en las TIC</w:t>
            </w:r>
            <w:r w:rsidR="00E36E53" w:rsidRPr="00E36E53">
              <w:rPr>
                <w:rFonts w:ascii="Calibri" w:eastAsia="Calibri" w:hAnsi="Calibri" w:cs="Times New Roman"/>
                <w:lang w:val="es-ES"/>
              </w:rPr>
              <w:t>, para la eficiencia energética y la información sobre el consumo de energía y costes, con un enfoque en la acción y resulta en una mejor comprensión de las interfaces de TIC y re</w:t>
            </w:r>
            <w:r>
              <w:rPr>
                <w:rFonts w:ascii="Calibri" w:eastAsia="Calibri" w:hAnsi="Calibri" w:cs="Times New Roman"/>
                <w:lang w:val="es-ES"/>
              </w:rPr>
              <w:t>presentación de la información.</w:t>
            </w:r>
          </w:p>
          <w:p w:rsidR="00E36E53" w:rsidRPr="00E36E53" w:rsidRDefault="006C77FF" w:rsidP="00E36E5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Pr>
                <w:rFonts w:ascii="Calibri" w:eastAsia="Calibri" w:hAnsi="Calibri" w:cs="Times New Roman"/>
                <w:lang w:val="es-ES"/>
              </w:rPr>
              <w:t>-</w:t>
            </w:r>
            <w:r w:rsidR="00E36E53" w:rsidRPr="002608FB">
              <w:rPr>
                <w:rFonts w:ascii="Calibri" w:eastAsia="Calibri" w:hAnsi="Calibri" w:cs="Times New Roman"/>
                <w:b/>
                <w:lang w:val="es-ES"/>
              </w:rPr>
              <w:t>Facilitar la comprensión del consumidor sobre las facturas</w:t>
            </w:r>
            <w:r w:rsidR="00E36E53" w:rsidRPr="00E36E53">
              <w:rPr>
                <w:rFonts w:ascii="Calibri" w:eastAsia="Calibri" w:hAnsi="Calibri" w:cs="Times New Roman"/>
                <w:lang w:val="es-ES"/>
              </w:rPr>
              <w:t xml:space="preserve"> de energía lo que lleva a las acciones que permitan una reducción en el consumo de energía. </w:t>
            </w:r>
          </w:p>
          <w:p w:rsidR="00F01168" w:rsidRPr="00E456E9" w:rsidRDefault="006C77FF" w:rsidP="00E36E53">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Pr>
                <w:rFonts w:ascii="Calibri" w:eastAsia="Calibri" w:hAnsi="Calibri" w:cs="Times New Roman"/>
                <w:lang w:val="es-ES"/>
              </w:rPr>
              <w:t>-</w:t>
            </w:r>
            <w:r w:rsidR="00E36E53" w:rsidRPr="002608FB">
              <w:rPr>
                <w:rFonts w:ascii="Calibri" w:eastAsia="Calibri" w:hAnsi="Calibri" w:cs="Times New Roman"/>
                <w:b/>
                <w:lang w:val="es-ES"/>
              </w:rPr>
              <w:t>Crear mejores instrumentos para mejorar la comprensión de los consumidores</w:t>
            </w:r>
            <w:r w:rsidR="00E36E53" w:rsidRPr="00E36E53">
              <w:rPr>
                <w:rFonts w:ascii="Calibri" w:eastAsia="Calibri" w:hAnsi="Calibri" w:cs="Times New Roman"/>
                <w:lang w:val="es-ES"/>
              </w:rPr>
              <w:t xml:space="preserve"> y encaminar las decisiones de compra hacia productos de mayor eficiencia, sin comprometer</w:t>
            </w:r>
            <w:bookmarkStart w:id="0" w:name="_GoBack"/>
            <w:bookmarkEnd w:id="0"/>
            <w:r w:rsidR="00E36E53" w:rsidRPr="00E36E53">
              <w:rPr>
                <w:rFonts w:ascii="Calibri" w:eastAsia="Calibri" w:hAnsi="Calibri" w:cs="Times New Roman"/>
                <w:lang w:val="es-ES"/>
              </w:rPr>
              <w:t xml:space="preserve"> los niveles de comodidad, y sin impactos ambi</w:t>
            </w:r>
            <w:r>
              <w:rPr>
                <w:rFonts w:ascii="Calibri" w:eastAsia="Calibri" w:hAnsi="Calibri" w:cs="Times New Roman"/>
                <w:lang w:val="es-ES"/>
              </w:rPr>
              <w:t>entales pertinentes adicionales.</w:t>
            </w:r>
          </w:p>
        </w:tc>
      </w:tr>
    </w:tbl>
    <w:p w:rsidR="00F57B62" w:rsidRPr="00F57B62" w:rsidRDefault="00F57B62" w:rsidP="00F57B62">
      <w:pPr>
        <w:pBdr>
          <w:top w:val="single" w:sz="6" w:space="1" w:color="auto"/>
          <w:bottom w:val="single" w:sz="6" w:space="1" w:color="auto"/>
        </w:pBdr>
        <w:spacing w:after="0" w:line="240" w:lineRule="auto"/>
        <w:rPr>
          <w:rFonts w:ascii="Calibri" w:eastAsia="Calibri" w:hAnsi="Calibri" w:cs="Times New Roman"/>
          <w:sz w:val="24"/>
          <w:szCs w:val="24"/>
        </w:rPr>
      </w:pPr>
    </w:p>
    <w:p w:rsidR="00F57B62" w:rsidRPr="00F57B62" w:rsidRDefault="00F57B62" w:rsidP="00F57B62">
      <w:pPr>
        <w:pBdr>
          <w:top w:val="single" w:sz="6" w:space="1" w:color="auto"/>
          <w:bottom w:val="single" w:sz="6" w:space="1" w:color="auto"/>
        </w:pBdr>
        <w:spacing w:after="0" w:line="240" w:lineRule="auto"/>
        <w:rPr>
          <w:rFonts w:ascii="Calibri" w:eastAsia="Calibri" w:hAnsi="Calibri" w:cs="Times New Roman"/>
          <w:b/>
          <w:sz w:val="24"/>
          <w:szCs w:val="24"/>
        </w:rPr>
      </w:pPr>
      <w:r w:rsidRPr="00F57B62">
        <w:rPr>
          <w:rFonts w:ascii="Calibri" w:eastAsia="Calibri" w:hAnsi="Calibri" w:cs="Times New Roman"/>
          <w:b/>
          <w:sz w:val="24"/>
          <w:szCs w:val="24"/>
        </w:rPr>
        <w:t xml:space="preserve">Ver </w:t>
      </w:r>
      <w:proofErr w:type="spellStart"/>
      <w:r w:rsidRPr="00F57B62">
        <w:rPr>
          <w:rFonts w:ascii="Calibri" w:eastAsia="Calibri" w:hAnsi="Calibri" w:cs="Times New Roman"/>
          <w:b/>
          <w:sz w:val="24"/>
          <w:szCs w:val="24"/>
        </w:rPr>
        <w:t>info</w:t>
      </w:r>
      <w:proofErr w:type="spellEnd"/>
      <w:r w:rsidRPr="00F57B62">
        <w:rPr>
          <w:rFonts w:ascii="Calibri" w:eastAsia="Calibri" w:hAnsi="Calibri" w:cs="Times New Roman"/>
          <w:b/>
          <w:sz w:val="24"/>
          <w:szCs w:val="24"/>
        </w:rPr>
        <w:t xml:space="preserve"> completa en:</w:t>
      </w:r>
    </w:p>
    <w:p w:rsidR="006C77FF" w:rsidRPr="00274CCD" w:rsidRDefault="00B84210" w:rsidP="006C77FF">
      <w:pPr>
        <w:pBdr>
          <w:top w:val="single" w:sz="6" w:space="0" w:color="auto"/>
          <w:bottom w:val="single" w:sz="6" w:space="1" w:color="auto"/>
        </w:pBdr>
        <w:tabs>
          <w:tab w:val="left" w:pos="1039"/>
        </w:tabs>
        <w:spacing w:after="0" w:line="240" w:lineRule="auto"/>
        <w:rPr>
          <w:lang w:val="es-ES_tradnl"/>
        </w:rPr>
      </w:pPr>
      <w:hyperlink r:id="rId7" w:history="1">
        <w:r w:rsidR="006C77FF" w:rsidRPr="00295E66">
          <w:rPr>
            <w:rStyle w:val="Hipervnculo"/>
            <w:lang w:val="es-ES_tradnl"/>
          </w:rPr>
          <w:t>https://ec.europa.eu/research/participants/portal/desktop/en/opportunities/h2020/topics/4095-ee-06-2016-2017.html</w:t>
        </w:r>
      </w:hyperlink>
    </w:p>
    <w:sectPr w:rsidR="006C77FF" w:rsidRPr="00274CCD" w:rsidSect="00B500A9">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210" w:rsidRDefault="00B84210">
      <w:pPr>
        <w:spacing w:after="0" w:line="240" w:lineRule="auto"/>
      </w:pPr>
      <w:r>
        <w:separator/>
      </w:r>
    </w:p>
  </w:endnote>
  <w:endnote w:type="continuationSeparator" w:id="0">
    <w:p w:rsidR="00B84210" w:rsidRDefault="00B84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1"/>
      <w:gridCol w:w="3021"/>
      <w:gridCol w:w="3137"/>
    </w:tblGrid>
    <w:tr w:rsidR="004E04AE" w:rsidRPr="00E221CA" w:rsidTr="001225C5">
      <w:tc>
        <w:tcPr>
          <w:tcW w:w="2881" w:type="dxa"/>
          <w:vAlign w:val="bottom"/>
        </w:tcPr>
        <w:p w:rsidR="004E04AE" w:rsidRPr="00F57B62" w:rsidRDefault="00992275" w:rsidP="0072023A">
          <w:pPr>
            <w:pStyle w:val="Piedepgina1"/>
            <w:rPr>
              <w:rFonts w:ascii="Arial" w:hAnsi="Arial" w:cs="Arial"/>
              <w:b/>
              <w:i/>
              <w:sz w:val="18"/>
              <w:szCs w:val="18"/>
              <w:lang w:val="it-IT"/>
            </w:rPr>
          </w:pPr>
          <w:r w:rsidRPr="00F57B62">
            <w:rPr>
              <w:rFonts w:ascii="Arial" w:hAnsi="Arial" w:cs="Arial"/>
              <w:b/>
              <w:i/>
              <w:sz w:val="18"/>
              <w:szCs w:val="18"/>
              <w:lang w:val="it-IT"/>
            </w:rPr>
            <w:t>Bruselako Delegazioa</w:t>
          </w:r>
        </w:p>
        <w:p w:rsidR="004E04AE" w:rsidRPr="00F57B62" w:rsidRDefault="00992275" w:rsidP="0072023A">
          <w:pPr>
            <w:pStyle w:val="Piedepgina1"/>
            <w:rPr>
              <w:rFonts w:ascii="Arial" w:hAnsi="Arial" w:cs="Arial"/>
              <w:b/>
              <w:i/>
              <w:sz w:val="18"/>
              <w:szCs w:val="18"/>
              <w:lang w:val="it-IT"/>
            </w:rPr>
          </w:pPr>
          <w:r w:rsidRPr="00F57B62">
            <w:rPr>
              <w:rFonts w:ascii="Arial" w:hAnsi="Arial" w:cs="Arial"/>
              <w:b/>
              <w:i/>
              <w:sz w:val="18"/>
              <w:szCs w:val="18"/>
              <w:lang w:val="it-IT"/>
            </w:rPr>
            <w:t>Delegation in Brussels</w:t>
          </w:r>
        </w:p>
      </w:tc>
      <w:tc>
        <w:tcPr>
          <w:tcW w:w="3021" w:type="dxa"/>
        </w:tcPr>
        <w:p w:rsidR="004E04AE" w:rsidRPr="002802E5" w:rsidRDefault="00992275" w:rsidP="0072023A">
          <w:pPr>
            <w:pStyle w:val="Piedepgina1"/>
            <w:rPr>
              <w:b/>
              <w:i/>
              <w:sz w:val="18"/>
              <w:szCs w:val="18"/>
            </w:rPr>
          </w:pPr>
          <w:r w:rsidRPr="002802E5">
            <w:rPr>
              <w:b/>
              <w:i/>
              <w:noProof/>
              <w:sz w:val="18"/>
              <w:szCs w:val="18"/>
              <w:lang w:eastAsia="es-ES"/>
            </w:rPr>
            <w:drawing>
              <wp:inline distT="0" distB="0" distL="0" distR="0" wp14:anchorId="42A3C5D2" wp14:editId="1FE8DFC2">
                <wp:extent cx="1781175" cy="489328"/>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489328"/>
                        </a:xfrm>
                        <a:prstGeom prst="rect">
                          <a:avLst/>
                        </a:prstGeom>
                        <a:noFill/>
                      </pic:spPr>
                    </pic:pic>
                  </a:graphicData>
                </a:graphic>
              </wp:inline>
            </w:drawing>
          </w:r>
        </w:p>
      </w:tc>
      <w:tc>
        <w:tcPr>
          <w:tcW w:w="3137" w:type="dxa"/>
          <w:vAlign w:val="bottom"/>
        </w:tcPr>
        <w:p w:rsidR="004E04AE" w:rsidRPr="001225C5" w:rsidRDefault="00992275" w:rsidP="0072023A">
          <w:pPr>
            <w:pStyle w:val="Piedepgina1"/>
            <w:ind w:left="708"/>
            <w:rPr>
              <w:rFonts w:ascii="Arial" w:hAnsi="Arial" w:cs="Arial"/>
              <w:b/>
              <w:i/>
              <w:sz w:val="18"/>
              <w:szCs w:val="18"/>
              <w:lang w:val="fr-BE"/>
            </w:rPr>
          </w:pPr>
          <w:r w:rsidRPr="001225C5">
            <w:rPr>
              <w:rFonts w:ascii="Arial" w:hAnsi="Arial" w:cs="Arial"/>
              <w:b/>
              <w:i/>
              <w:sz w:val="18"/>
              <w:szCs w:val="18"/>
              <w:lang w:val="fr-BE"/>
            </w:rPr>
            <w:t>Délégation à Bruxelles</w:t>
          </w:r>
        </w:p>
        <w:p w:rsidR="004E04AE" w:rsidRPr="001225C5" w:rsidRDefault="00992275" w:rsidP="001225C5">
          <w:pPr>
            <w:pStyle w:val="Piedepgina1"/>
            <w:ind w:left="708"/>
            <w:rPr>
              <w:rFonts w:ascii="Arial" w:hAnsi="Arial" w:cs="Arial"/>
              <w:b/>
              <w:i/>
              <w:sz w:val="18"/>
              <w:szCs w:val="18"/>
              <w:lang w:val="fr-BE"/>
            </w:rPr>
          </w:pPr>
          <w:proofErr w:type="spellStart"/>
          <w:r w:rsidRPr="001225C5">
            <w:rPr>
              <w:rFonts w:ascii="Arial" w:hAnsi="Arial" w:cs="Arial"/>
              <w:b/>
              <w:i/>
              <w:sz w:val="18"/>
              <w:szCs w:val="18"/>
              <w:lang w:val="fr-BE"/>
            </w:rPr>
            <w:t>Delegación</w:t>
          </w:r>
          <w:proofErr w:type="spellEnd"/>
          <w:r w:rsidRPr="001225C5">
            <w:rPr>
              <w:rFonts w:ascii="Arial" w:hAnsi="Arial" w:cs="Arial"/>
              <w:b/>
              <w:i/>
              <w:sz w:val="18"/>
              <w:szCs w:val="18"/>
              <w:lang w:val="fr-BE"/>
            </w:rPr>
            <w:t xml:space="preserve"> en </w:t>
          </w:r>
          <w:r>
            <w:rPr>
              <w:rFonts w:ascii="Arial" w:hAnsi="Arial" w:cs="Arial"/>
              <w:b/>
              <w:i/>
              <w:sz w:val="18"/>
              <w:szCs w:val="18"/>
              <w:lang w:val="fr-BE"/>
            </w:rPr>
            <w:t>B</w:t>
          </w:r>
          <w:r w:rsidRPr="001225C5">
            <w:rPr>
              <w:rFonts w:ascii="Arial" w:hAnsi="Arial" w:cs="Arial"/>
              <w:b/>
              <w:i/>
              <w:sz w:val="18"/>
              <w:szCs w:val="18"/>
              <w:lang w:val="fr-BE"/>
            </w:rPr>
            <w:t>ruselas</w:t>
          </w:r>
        </w:p>
      </w:tc>
    </w:tr>
  </w:tbl>
  <w:p w:rsidR="004E04AE" w:rsidRPr="004E04AE" w:rsidRDefault="00B84210">
    <w:pPr>
      <w:pStyle w:val="Piedepgina1"/>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210" w:rsidRDefault="00B84210">
      <w:pPr>
        <w:spacing w:after="0" w:line="240" w:lineRule="auto"/>
      </w:pPr>
      <w:r>
        <w:separator/>
      </w:r>
    </w:p>
  </w:footnote>
  <w:footnote w:type="continuationSeparator" w:id="0">
    <w:p w:rsidR="00B84210" w:rsidRDefault="00B842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gridCol w:w="4322"/>
    </w:tblGrid>
    <w:tr w:rsidR="004E04AE" w:rsidTr="0072023A">
      <w:tc>
        <w:tcPr>
          <w:tcW w:w="4322" w:type="dxa"/>
          <w:vAlign w:val="center"/>
        </w:tcPr>
        <w:p w:rsidR="004E04AE" w:rsidRPr="004E20C4" w:rsidRDefault="00992275" w:rsidP="0072023A">
          <w:pPr>
            <w:pStyle w:val="Encabezado1"/>
            <w:rPr>
              <w:b/>
              <w:i/>
              <w:sz w:val="16"/>
              <w:szCs w:val="16"/>
            </w:rPr>
          </w:pPr>
          <w:r w:rsidRPr="004E20C4">
            <w:rPr>
              <w:b/>
              <w:i/>
              <w:sz w:val="16"/>
              <w:szCs w:val="16"/>
            </w:rPr>
            <w:t xml:space="preserve">Ficha resumen – </w:t>
          </w:r>
          <w:proofErr w:type="spellStart"/>
          <w:r w:rsidRPr="004E20C4">
            <w:rPr>
              <w:b/>
              <w:i/>
              <w:sz w:val="16"/>
              <w:szCs w:val="16"/>
            </w:rPr>
            <w:t>laburpena</w:t>
          </w:r>
          <w:proofErr w:type="spellEnd"/>
        </w:p>
      </w:tc>
      <w:tc>
        <w:tcPr>
          <w:tcW w:w="4322" w:type="dxa"/>
        </w:tcPr>
        <w:p w:rsidR="004E04AE" w:rsidRDefault="00B84210" w:rsidP="0072023A">
          <w:pPr>
            <w:pStyle w:val="Encabezado1"/>
            <w:ind w:left="2832"/>
          </w:pPr>
        </w:p>
      </w:tc>
    </w:tr>
  </w:tbl>
  <w:p w:rsidR="004E04AE" w:rsidRDefault="00992275" w:rsidP="001225C5">
    <w:pPr>
      <w:pStyle w:val="Encabezado1"/>
      <w:jc w:val="right"/>
    </w:pPr>
    <w:r>
      <w:rPr>
        <w:noProof/>
        <w:lang w:eastAsia="es-ES"/>
      </w:rPr>
      <w:drawing>
        <wp:inline distT="0" distB="0" distL="0" distR="0" wp14:anchorId="3DF0BAC7" wp14:editId="573A29C0">
          <wp:extent cx="942975" cy="352425"/>
          <wp:effectExtent l="0" t="0" r="9525" b="9525"/>
          <wp:docPr id="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pic:cNvPicPr>
                    <a:picLocks noChangeAspect="1"/>
                  </pic:cNvPicPr>
                </pic:nvPicPr>
                <pic:blipFill>
                  <a:blip r:embed="rId1"/>
                  <a:stretch>
                    <a:fillRect/>
                  </a:stretch>
                </pic:blipFill>
                <pic:spPr>
                  <a:xfrm>
                    <a:off x="0" y="0"/>
                    <a:ext cx="942975" cy="3524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0787"/>
    <w:multiLevelType w:val="hybridMultilevel"/>
    <w:tmpl w:val="4E5482B8"/>
    <w:lvl w:ilvl="0" w:tplc="226E61DA">
      <w:numFmt w:val="bullet"/>
      <w:lvlText w:val=""/>
      <w:lvlJc w:val="left"/>
      <w:pPr>
        <w:ind w:left="720" w:hanging="36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8D00BB"/>
    <w:multiLevelType w:val="hybridMultilevel"/>
    <w:tmpl w:val="8ED62B5C"/>
    <w:lvl w:ilvl="0" w:tplc="619C2256">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887273"/>
    <w:multiLevelType w:val="hybridMultilevel"/>
    <w:tmpl w:val="78908AE4"/>
    <w:lvl w:ilvl="0" w:tplc="812AA760">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160D7D"/>
    <w:multiLevelType w:val="hybridMultilevel"/>
    <w:tmpl w:val="7CB228DC"/>
    <w:lvl w:ilvl="0" w:tplc="9EBC01CE">
      <w:start w:val="1"/>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C756341"/>
    <w:multiLevelType w:val="hybridMultilevel"/>
    <w:tmpl w:val="0228372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2604335F"/>
    <w:multiLevelType w:val="multilevel"/>
    <w:tmpl w:val="F0EE7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CD4920"/>
    <w:multiLevelType w:val="hybridMultilevel"/>
    <w:tmpl w:val="9DAC5C6E"/>
    <w:lvl w:ilvl="0" w:tplc="9A203B0C">
      <w:start w:val="1"/>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DDC7457"/>
    <w:multiLevelType w:val="hybridMultilevel"/>
    <w:tmpl w:val="2EB4FA64"/>
    <w:lvl w:ilvl="0" w:tplc="44EEAA50">
      <w:start w:val="2"/>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411000E"/>
    <w:multiLevelType w:val="hybridMultilevel"/>
    <w:tmpl w:val="3230BB06"/>
    <w:lvl w:ilvl="0" w:tplc="F58A62A8">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C411B0B"/>
    <w:multiLevelType w:val="multilevel"/>
    <w:tmpl w:val="412CA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BD33C1"/>
    <w:multiLevelType w:val="hybridMultilevel"/>
    <w:tmpl w:val="B040010A"/>
    <w:lvl w:ilvl="0" w:tplc="E4646C7E">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9E24767"/>
    <w:multiLevelType w:val="hybridMultilevel"/>
    <w:tmpl w:val="0DCA5B1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72742EE7"/>
    <w:multiLevelType w:val="multilevel"/>
    <w:tmpl w:val="214A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A66EFE"/>
    <w:multiLevelType w:val="multilevel"/>
    <w:tmpl w:val="89DC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0"/>
  </w:num>
  <w:num w:numId="4">
    <w:abstractNumId w:val="5"/>
  </w:num>
  <w:num w:numId="5">
    <w:abstractNumId w:val="9"/>
  </w:num>
  <w:num w:numId="6">
    <w:abstractNumId w:val="13"/>
  </w:num>
  <w:num w:numId="7">
    <w:abstractNumId w:val="12"/>
  </w:num>
  <w:num w:numId="8">
    <w:abstractNumId w:val="6"/>
  </w:num>
  <w:num w:numId="9">
    <w:abstractNumId w:val="3"/>
  </w:num>
  <w:num w:numId="10">
    <w:abstractNumId w:val="2"/>
  </w:num>
  <w:num w:numId="11">
    <w:abstractNumId w:val="1"/>
  </w:num>
  <w:num w:numId="12">
    <w:abstractNumId w:val="7"/>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B62"/>
    <w:rsid w:val="00012B66"/>
    <w:rsid w:val="00022FFA"/>
    <w:rsid w:val="000979A4"/>
    <w:rsid w:val="000C6186"/>
    <w:rsid w:val="00105170"/>
    <w:rsid w:val="001338C8"/>
    <w:rsid w:val="001623F6"/>
    <w:rsid w:val="00170DEF"/>
    <w:rsid w:val="001A1E46"/>
    <w:rsid w:val="001A7AA5"/>
    <w:rsid w:val="001B7BFA"/>
    <w:rsid w:val="001C4426"/>
    <w:rsid w:val="001D24C6"/>
    <w:rsid w:val="001F4DF5"/>
    <w:rsid w:val="002177CC"/>
    <w:rsid w:val="00221545"/>
    <w:rsid w:val="00234D03"/>
    <w:rsid w:val="00251E4A"/>
    <w:rsid w:val="002608FB"/>
    <w:rsid w:val="00274CCD"/>
    <w:rsid w:val="00275FB4"/>
    <w:rsid w:val="002911B0"/>
    <w:rsid w:val="00296D47"/>
    <w:rsid w:val="002C5A5F"/>
    <w:rsid w:val="002C65B6"/>
    <w:rsid w:val="002E1586"/>
    <w:rsid w:val="002F38A2"/>
    <w:rsid w:val="00312A51"/>
    <w:rsid w:val="00313382"/>
    <w:rsid w:val="003165FB"/>
    <w:rsid w:val="00327F3A"/>
    <w:rsid w:val="003328DC"/>
    <w:rsid w:val="00337D2B"/>
    <w:rsid w:val="00372CCC"/>
    <w:rsid w:val="00385E62"/>
    <w:rsid w:val="003925BF"/>
    <w:rsid w:val="00392E36"/>
    <w:rsid w:val="003B0CB0"/>
    <w:rsid w:val="003E00C7"/>
    <w:rsid w:val="004148F8"/>
    <w:rsid w:val="004D1D28"/>
    <w:rsid w:val="00500186"/>
    <w:rsid w:val="00521B0A"/>
    <w:rsid w:val="00587539"/>
    <w:rsid w:val="005A3F0E"/>
    <w:rsid w:val="005A44E2"/>
    <w:rsid w:val="005B2270"/>
    <w:rsid w:val="005C7B34"/>
    <w:rsid w:val="005D5172"/>
    <w:rsid w:val="005E10AE"/>
    <w:rsid w:val="0060112A"/>
    <w:rsid w:val="006157B5"/>
    <w:rsid w:val="00635E94"/>
    <w:rsid w:val="0065131B"/>
    <w:rsid w:val="00655268"/>
    <w:rsid w:val="0068606D"/>
    <w:rsid w:val="006A6A4B"/>
    <w:rsid w:val="006C77FF"/>
    <w:rsid w:val="00731378"/>
    <w:rsid w:val="00771E86"/>
    <w:rsid w:val="00780F98"/>
    <w:rsid w:val="00794CB6"/>
    <w:rsid w:val="007B213D"/>
    <w:rsid w:val="007B384F"/>
    <w:rsid w:val="007D5767"/>
    <w:rsid w:val="007D6208"/>
    <w:rsid w:val="007E251D"/>
    <w:rsid w:val="00807877"/>
    <w:rsid w:val="008219DA"/>
    <w:rsid w:val="00841E05"/>
    <w:rsid w:val="008433AB"/>
    <w:rsid w:val="008521E4"/>
    <w:rsid w:val="008B6830"/>
    <w:rsid w:val="008E72EE"/>
    <w:rsid w:val="00912454"/>
    <w:rsid w:val="00936F80"/>
    <w:rsid w:val="00963880"/>
    <w:rsid w:val="00973358"/>
    <w:rsid w:val="00992275"/>
    <w:rsid w:val="009C21FB"/>
    <w:rsid w:val="00A00CB1"/>
    <w:rsid w:val="00A06D87"/>
    <w:rsid w:val="00A10539"/>
    <w:rsid w:val="00A37670"/>
    <w:rsid w:val="00A40D1E"/>
    <w:rsid w:val="00A6260D"/>
    <w:rsid w:val="00A81D99"/>
    <w:rsid w:val="00A86128"/>
    <w:rsid w:val="00A901B2"/>
    <w:rsid w:val="00AA2C38"/>
    <w:rsid w:val="00AB6C81"/>
    <w:rsid w:val="00AD3FCA"/>
    <w:rsid w:val="00AF1D74"/>
    <w:rsid w:val="00AF5BAF"/>
    <w:rsid w:val="00B0002C"/>
    <w:rsid w:val="00B04FEA"/>
    <w:rsid w:val="00B14B1F"/>
    <w:rsid w:val="00B27626"/>
    <w:rsid w:val="00B47034"/>
    <w:rsid w:val="00B556A7"/>
    <w:rsid w:val="00B71DF5"/>
    <w:rsid w:val="00B84210"/>
    <w:rsid w:val="00BF63D2"/>
    <w:rsid w:val="00C17B67"/>
    <w:rsid w:val="00CD7CB6"/>
    <w:rsid w:val="00CE41B8"/>
    <w:rsid w:val="00CF0AE1"/>
    <w:rsid w:val="00D05366"/>
    <w:rsid w:val="00D11C77"/>
    <w:rsid w:val="00D44D0C"/>
    <w:rsid w:val="00D83639"/>
    <w:rsid w:val="00D86BC6"/>
    <w:rsid w:val="00E0098F"/>
    <w:rsid w:val="00E14DD4"/>
    <w:rsid w:val="00E221CA"/>
    <w:rsid w:val="00E36E53"/>
    <w:rsid w:val="00E42496"/>
    <w:rsid w:val="00E44DC2"/>
    <w:rsid w:val="00E456E9"/>
    <w:rsid w:val="00E866BE"/>
    <w:rsid w:val="00E95E3B"/>
    <w:rsid w:val="00EE0F3D"/>
    <w:rsid w:val="00EE2A18"/>
    <w:rsid w:val="00EF1090"/>
    <w:rsid w:val="00F00591"/>
    <w:rsid w:val="00F01168"/>
    <w:rsid w:val="00F07BEF"/>
    <w:rsid w:val="00F270BC"/>
    <w:rsid w:val="00F46617"/>
    <w:rsid w:val="00F57B62"/>
    <w:rsid w:val="00F832D9"/>
    <w:rsid w:val="00FA7CD1"/>
    <w:rsid w:val="00FC6F24"/>
    <w:rsid w:val="00FC76D4"/>
    <w:rsid w:val="00FD09EC"/>
    <w:rsid w:val="00FD36D1"/>
    <w:rsid w:val="00FE5F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7C985E-19DB-4576-8C12-ECD7842A4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
    <w:name w:val="Tabla con cuadrícula1"/>
    <w:basedOn w:val="Tablanormal"/>
    <w:next w:val="Tablaconcuadrcula"/>
    <w:uiPriority w:val="39"/>
    <w:rsid w:val="00F57B62"/>
    <w:pPr>
      <w:spacing w:after="0" w:line="240" w:lineRule="auto"/>
    </w:pPr>
    <w:rPr>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cabezado1">
    <w:name w:val="Encabezado1"/>
    <w:basedOn w:val="Normal"/>
    <w:next w:val="Encabezado"/>
    <w:link w:val="EncabezadoCar"/>
    <w:uiPriority w:val="99"/>
    <w:unhideWhenUsed/>
    <w:rsid w:val="00F57B62"/>
    <w:pPr>
      <w:tabs>
        <w:tab w:val="center" w:pos="4252"/>
        <w:tab w:val="right" w:pos="8504"/>
      </w:tabs>
      <w:spacing w:after="0" w:line="240" w:lineRule="auto"/>
    </w:pPr>
  </w:style>
  <w:style w:type="character" w:customStyle="1" w:styleId="EncabezadoCar">
    <w:name w:val="Encabezado Car"/>
    <w:basedOn w:val="Fuentedeprrafopredeter"/>
    <w:link w:val="Encabezado1"/>
    <w:uiPriority w:val="99"/>
    <w:rsid w:val="00F57B62"/>
  </w:style>
  <w:style w:type="paragraph" w:customStyle="1" w:styleId="Piedepgina1">
    <w:name w:val="Pie de página1"/>
    <w:basedOn w:val="Normal"/>
    <w:next w:val="Piedepgina"/>
    <w:link w:val="PiedepginaCar"/>
    <w:uiPriority w:val="99"/>
    <w:unhideWhenUsed/>
    <w:rsid w:val="00F57B62"/>
    <w:pPr>
      <w:tabs>
        <w:tab w:val="center" w:pos="4252"/>
        <w:tab w:val="right" w:pos="8504"/>
      </w:tabs>
      <w:spacing w:after="0" w:line="240" w:lineRule="auto"/>
    </w:pPr>
  </w:style>
  <w:style w:type="character" w:customStyle="1" w:styleId="PiedepginaCar">
    <w:name w:val="Pie de página Car"/>
    <w:basedOn w:val="Fuentedeprrafopredeter"/>
    <w:link w:val="Piedepgina1"/>
    <w:uiPriority w:val="99"/>
    <w:rsid w:val="00F57B62"/>
  </w:style>
  <w:style w:type="table" w:customStyle="1" w:styleId="Cuadrculamedia1-nfasis11">
    <w:name w:val="Cuadrícula media 1 - Énfasis 11"/>
    <w:basedOn w:val="Tablanormal"/>
    <w:next w:val="Cuadrculamedia1-nfasis1"/>
    <w:uiPriority w:val="67"/>
    <w:rsid w:val="00F57B62"/>
    <w:pPr>
      <w:spacing w:after="0" w:line="240" w:lineRule="auto"/>
    </w:pPr>
    <w:rPr>
      <w:sz w:val="24"/>
      <w:szCs w:val="24"/>
      <w:lang w:val="es-ES_tradnl"/>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Tablaconcuadrcula">
    <w:name w:val="Table Grid"/>
    <w:basedOn w:val="Tablanormal"/>
    <w:uiPriority w:val="59"/>
    <w:rsid w:val="00F57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1"/>
    <w:uiPriority w:val="99"/>
    <w:semiHidden/>
    <w:unhideWhenUsed/>
    <w:rsid w:val="00F57B62"/>
    <w:pPr>
      <w:tabs>
        <w:tab w:val="center" w:pos="4252"/>
        <w:tab w:val="right" w:pos="8504"/>
      </w:tabs>
      <w:spacing w:after="0" w:line="240" w:lineRule="auto"/>
    </w:pPr>
  </w:style>
  <w:style w:type="character" w:customStyle="1" w:styleId="EncabezadoCar1">
    <w:name w:val="Encabezado Car1"/>
    <w:basedOn w:val="Fuentedeprrafopredeter"/>
    <w:link w:val="Encabezado"/>
    <w:uiPriority w:val="99"/>
    <w:semiHidden/>
    <w:rsid w:val="00F57B62"/>
  </w:style>
  <w:style w:type="paragraph" w:styleId="Piedepgina">
    <w:name w:val="footer"/>
    <w:basedOn w:val="Normal"/>
    <w:link w:val="PiedepginaCar1"/>
    <w:uiPriority w:val="99"/>
    <w:semiHidden/>
    <w:unhideWhenUsed/>
    <w:rsid w:val="00F57B62"/>
    <w:pPr>
      <w:tabs>
        <w:tab w:val="center" w:pos="4252"/>
        <w:tab w:val="right" w:pos="8504"/>
      </w:tabs>
      <w:spacing w:after="0" w:line="240" w:lineRule="auto"/>
    </w:pPr>
  </w:style>
  <w:style w:type="character" w:customStyle="1" w:styleId="PiedepginaCar1">
    <w:name w:val="Pie de página Car1"/>
    <w:basedOn w:val="Fuentedeprrafopredeter"/>
    <w:link w:val="Piedepgina"/>
    <w:uiPriority w:val="99"/>
    <w:semiHidden/>
    <w:rsid w:val="00F57B62"/>
  </w:style>
  <w:style w:type="table" w:styleId="Cuadrculamedia1-nfasis1">
    <w:name w:val="Medium Grid 1 Accent 1"/>
    <w:basedOn w:val="Tablanormal"/>
    <w:uiPriority w:val="67"/>
    <w:rsid w:val="00F57B6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Textodeglobo">
    <w:name w:val="Balloon Text"/>
    <w:basedOn w:val="Normal"/>
    <w:link w:val="TextodegloboCar"/>
    <w:uiPriority w:val="99"/>
    <w:semiHidden/>
    <w:unhideWhenUsed/>
    <w:rsid w:val="00F57B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7B62"/>
    <w:rPr>
      <w:rFonts w:ascii="Tahoma" w:hAnsi="Tahoma" w:cs="Tahoma"/>
      <w:sz w:val="16"/>
      <w:szCs w:val="16"/>
    </w:rPr>
  </w:style>
  <w:style w:type="character" w:styleId="Hipervnculo">
    <w:name w:val="Hyperlink"/>
    <w:basedOn w:val="Fuentedeprrafopredeter"/>
    <w:uiPriority w:val="99"/>
    <w:unhideWhenUsed/>
    <w:rsid w:val="00372CCC"/>
    <w:rPr>
      <w:color w:val="0000FF" w:themeColor="hyperlink"/>
      <w:u w:val="single"/>
    </w:rPr>
  </w:style>
  <w:style w:type="paragraph" w:styleId="Prrafodelista">
    <w:name w:val="List Paragraph"/>
    <w:basedOn w:val="Normal"/>
    <w:uiPriority w:val="34"/>
    <w:qFormat/>
    <w:rsid w:val="005D5172"/>
    <w:pPr>
      <w:ind w:left="720"/>
      <w:contextualSpacing/>
    </w:pPr>
  </w:style>
  <w:style w:type="character" w:styleId="Hipervnculovisitado">
    <w:name w:val="FollowedHyperlink"/>
    <w:basedOn w:val="Fuentedeprrafopredeter"/>
    <w:uiPriority w:val="99"/>
    <w:semiHidden/>
    <w:unhideWhenUsed/>
    <w:rsid w:val="009638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964244">
      <w:bodyDiv w:val="1"/>
      <w:marLeft w:val="0"/>
      <w:marRight w:val="0"/>
      <w:marTop w:val="0"/>
      <w:marBottom w:val="0"/>
      <w:divBdr>
        <w:top w:val="none" w:sz="0" w:space="0" w:color="auto"/>
        <w:left w:val="none" w:sz="0" w:space="0" w:color="auto"/>
        <w:bottom w:val="none" w:sz="0" w:space="0" w:color="auto"/>
        <w:right w:val="none" w:sz="0" w:space="0" w:color="auto"/>
      </w:divBdr>
    </w:div>
    <w:div w:id="826020317">
      <w:bodyDiv w:val="1"/>
      <w:marLeft w:val="0"/>
      <w:marRight w:val="0"/>
      <w:marTop w:val="0"/>
      <w:marBottom w:val="0"/>
      <w:divBdr>
        <w:top w:val="none" w:sz="0" w:space="0" w:color="auto"/>
        <w:left w:val="none" w:sz="0" w:space="0" w:color="auto"/>
        <w:bottom w:val="none" w:sz="0" w:space="0" w:color="auto"/>
        <w:right w:val="none" w:sz="0" w:space="0" w:color="auto"/>
      </w:divBdr>
    </w:div>
    <w:div w:id="1137255817">
      <w:bodyDiv w:val="1"/>
      <w:marLeft w:val="0"/>
      <w:marRight w:val="0"/>
      <w:marTop w:val="0"/>
      <w:marBottom w:val="0"/>
      <w:divBdr>
        <w:top w:val="none" w:sz="0" w:space="0" w:color="auto"/>
        <w:left w:val="none" w:sz="0" w:space="0" w:color="auto"/>
        <w:bottom w:val="none" w:sz="0" w:space="0" w:color="auto"/>
        <w:right w:val="none" w:sz="0" w:space="0" w:color="auto"/>
      </w:divBdr>
    </w:div>
    <w:div w:id="164817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c.europa.eu/research/participants/portal/desktop/en/opportunities/h2020/topics/4095-ee-06-2016-201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634</TotalTime>
  <Pages>1</Pages>
  <Words>441</Words>
  <Characters>2430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FIGUEROA, Ana</dc:creator>
  <cp:lastModifiedBy>Becario NAVARRA (ELEXPE BASTIDA,Oscar</cp:lastModifiedBy>
  <cp:revision>56</cp:revision>
  <dcterms:created xsi:type="dcterms:W3CDTF">2016-01-29T14:13:00Z</dcterms:created>
  <dcterms:modified xsi:type="dcterms:W3CDTF">2016-06-20T10:59:00Z</dcterms:modified>
</cp:coreProperties>
</file>