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57B62" w:rsidRPr="00F57B62" w:rsidTr="00873206">
        <w:tc>
          <w:tcPr>
            <w:tcW w:w="10173" w:type="dxa"/>
          </w:tcPr>
          <w:p w:rsidR="00F57B62" w:rsidRPr="00E14DD4" w:rsidRDefault="00A544AF" w:rsidP="008219DA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La superación de las barreras de mercado y promover la profunda renovación de los edificios</w:t>
            </w:r>
            <w:r w:rsidR="00F57B62" w:rsidRPr="00F57B62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- FICHA TÉCNICA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Cuadrculamedia1-nfasis1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F57B62" w:rsidRPr="00F57B62" w:rsidTr="0087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 xml:space="preserve">Objeto de la </w:t>
            </w:r>
            <w:r>
              <w:rPr>
                <w:rFonts w:ascii="Calibri" w:eastAsia="Calibri" w:hAnsi="Calibri" w:cs="Times New Roman"/>
              </w:rPr>
              <w:t>s</w:t>
            </w:r>
            <w:r w:rsidRPr="00F57B62">
              <w:rPr>
                <w:rFonts w:ascii="Calibri" w:eastAsia="Calibri" w:hAnsi="Calibri" w:cs="Times New Roman"/>
              </w:rPr>
              <w:t>ubvención</w:t>
            </w:r>
          </w:p>
        </w:tc>
        <w:tc>
          <w:tcPr>
            <w:tcW w:w="8364" w:type="dxa"/>
          </w:tcPr>
          <w:p w:rsidR="00A544AF" w:rsidRPr="00A544AF" w:rsidRDefault="00A544AF" w:rsidP="00A544A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A544AF">
              <w:rPr>
                <w:rFonts w:eastAsia="Calibri" w:cs="Times New Roman"/>
                <w:b w:val="0"/>
              </w:rPr>
              <w:t>Con el fin de alcanzar los objetivos de eficiencia energética de la UE 2020, la tasa de renovación tiene que aumentar desde el actual nivel de 1.2% por año a por lo menos 2-3% (con un objetivo específico para el sector público del 3%) y la eficiencia energética de renovaciones necesita mejorar. Tanto la eficiencia energética de los edificios (EPBD) y la Directiva sobre eficiencia energética (EED) contienen varias disposiciones a este respecto. La sostenibilidad ambiental del proceso de renovación, pero que es más importante, la salud y el bienestar de los ocupantes también son relevantes. Esto podría conducir a la consideración de los aspectos parcialmente cubiertas por las diferentes partes de la legislación de la UE, como REACH, la Directiva marco del agua</w:t>
            </w:r>
            <w:r w:rsidR="00790741">
              <w:rPr>
                <w:rFonts w:eastAsia="Calibri" w:cs="Times New Roman"/>
                <w:b w:val="0"/>
              </w:rPr>
              <w:t xml:space="preserve">, </w:t>
            </w:r>
            <w:r w:rsidRPr="00A544AF">
              <w:rPr>
                <w:rFonts w:eastAsia="Calibri" w:cs="Times New Roman"/>
                <w:b w:val="0"/>
              </w:rPr>
              <w:t>el Reglamento so</w:t>
            </w:r>
            <w:r w:rsidR="00790741">
              <w:rPr>
                <w:rFonts w:eastAsia="Calibri" w:cs="Times New Roman"/>
                <w:b w:val="0"/>
              </w:rPr>
              <w:t>bre productos de construcción, etc.</w:t>
            </w:r>
          </w:p>
          <w:p w:rsidR="00F57B62" w:rsidRPr="00385E62" w:rsidRDefault="00A544AF" w:rsidP="00A544A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</w:rPr>
            </w:pPr>
            <w:r w:rsidRPr="00A544AF">
              <w:rPr>
                <w:rFonts w:eastAsia="Calibri" w:cs="Times New Roman"/>
                <w:b w:val="0"/>
              </w:rPr>
              <w:t>Muchas barreras, que no son necesariamente tecnológica, dificultan la aplicación de estas disposiciones. Por ejemplo: la diversidad y la fragmentación de la cadena de valor de la construcción; procesos de renovación ineficientes y complejas; la falta de paquetes de actualización de profundidad; bajo desarrollo y la adopción de paquetes financieros o incentivos (por ejemplo, subvenciones, créditos); la energía claro o medio ambiente en subvenciones renovación o procesos de adquisición; baja avances en las garantías de rendimiento. Existe, por tanto, una necesidad de superar estas barreras reglamentarias y no reglamentarias para facilitar la renovación de las existencias de construcción existentes.</w:t>
            </w:r>
          </w:p>
        </w:tc>
      </w:tr>
      <w:tr w:rsidR="00F57B62" w:rsidRPr="00F57B62" w:rsidTr="0087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>Plazos</w:t>
            </w:r>
          </w:p>
        </w:tc>
        <w:tc>
          <w:tcPr>
            <w:tcW w:w="8364" w:type="dxa"/>
          </w:tcPr>
          <w:p w:rsidR="00F57B62" w:rsidRPr="00F57B62" w:rsidRDefault="001623F6" w:rsidP="001A7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Plazo de apertura: </w:t>
            </w:r>
            <w:r w:rsidR="001A7AA5">
              <w:rPr>
                <w:rFonts w:ascii="Calibri" w:eastAsia="Calibri" w:hAnsi="Calibri" w:cs="Times New Roman"/>
              </w:rPr>
              <w:t>15</w:t>
            </w:r>
            <w:r>
              <w:rPr>
                <w:rFonts w:ascii="Calibri" w:eastAsia="Calibri" w:hAnsi="Calibri" w:cs="Times New Roman"/>
              </w:rPr>
              <w:t xml:space="preserve"> de </w:t>
            </w:r>
            <w:r w:rsidR="001A7AA5">
              <w:rPr>
                <w:rFonts w:ascii="Calibri" w:eastAsia="Calibri" w:hAnsi="Calibri" w:cs="Times New Roman"/>
              </w:rPr>
              <w:t>Marzo</w:t>
            </w:r>
            <w:r>
              <w:rPr>
                <w:rFonts w:ascii="Calibri" w:eastAsia="Calibri" w:hAnsi="Calibri" w:cs="Times New Roman"/>
              </w:rPr>
              <w:t xml:space="preserve"> de 2016  - </w:t>
            </w:r>
            <w:r w:rsidR="004148F8">
              <w:rPr>
                <w:rFonts w:ascii="Calibri" w:eastAsia="Calibri" w:hAnsi="Calibri" w:cs="Times New Roman"/>
              </w:rPr>
              <w:t xml:space="preserve">Plazo de cierre: </w:t>
            </w:r>
            <w:r w:rsidR="001A7AA5">
              <w:rPr>
                <w:rFonts w:ascii="Calibri" w:eastAsia="Calibri" w:hAnsi="Calibri" w:cs="Times New Roman"/>
              </w:rPr>
              <w:t>15</w:t>
            </w:r>
            <w:r w:rsidR="004148F8">
              <w:rPr>
                <w:rFonts w:ascii="Calibri" w:eastAsia="Calibri" w:hAnsi="Calibri" w:cs="Times New Roman"/>
              </w:rPr>
              <w:t xml:space="preserve"> de </w:t>
            </w:r>
            <w:r w:rsidR="001A7AA5">
              <w:rPr>
                <w:rFonts w:ascii="Calibri" w:eastAsia="Calibri" w:hAnsi="Calibri" w:cs="Times New Roman"/>
              </w:rPr>
              <w:t>Septiembre de 2016</w:t>
            </w:r>
            <w:r w:rsidR="004148F8">
              <w:rPr>
                <w:rFonts w:ascii="Calibri" w:eastAsia="Calibri" w:hAnsi="Calibri" w:cs="Times New Roman"/>
              </w:rPr>
              <w:t>.</w:t>
            </w:r>
          </w:p>
        </w:tc>
      </w:tr>
      <w:tr w:rsidR="00F57B62" w:rsidRPr="00F57B62" w:rsidTr="00873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5E10AE" w:rsidP="00F57B6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Presupuesto</w:t>
            </w:r>
          </w:p>
        </w:tc>
        <w:tc>
          <w:tcPr>
            <w:tcW w:w="8364" w:type="dxa"/>
          </w:tcPr>
          <w:p w:rsidR="00EE2A18" w:rsidRPr="00B556A7" w:rsidRDefault="005E10AE" w:rsidP="00B5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 xml:space="preserve">Una bolsa de </w:t>
            </w:r>
            <w:r w:rsidR="00A544AF">
              <w:rPr>
                <w:b/>
              </w:rPr>
              <w:t>16</w:t>
            </w:r>
            <w:r w:rsidRPr="005E10AE">
              <w:rPr>
                <w:b/>
              </w:rPr>
              <w:t>.000.000 €</w:t>
            </w:r>
          </w:p>
        </w:tc>
      </w:tr>
      <w:tr w:rsidR="00F57B62" w:rsidRPr="00F57B62" w:rsidTr="0087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F57B62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>Observaciones</w:t>
            </w:r>
          </w:p>
        </w:tc>
        <w:tc>
          <w:tcPr>
            <w:tcW w:w="8364" w:type="dxa"/>
          </w:tcPr>
          <w:p w:rsidR="00A544AF" w:rsidRPr="00A544AF" w:rsidRDefault="00790741" w:rsidP="00A5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A544AF" w:rsidRPr="00A544AF">
              <w:rPr>
                <w:rFonts w:ascii="Calibri" w:eastAsia="Calibri" w:hAnsi="Calibri" w:cs="Times New Roman"/>
                <w:lang w:val="es-ES"/>
              </w:rPr>
              <w:t>Apoyo a los consumidores o usuarios finales</w:t>
            </w:r>
            <w:r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A544AF" w:rsidRPr="00A544AF" w:rsidRDefault="00790741" w:rsidP="00A5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A544AF" w:rsidRPr="00A544AF">
              <w:rPr>
                <w:rFonts w:ascii="Calibri" w:eastAsia="Calibri" w:hAnsi="Calibri" w:cs="Times New Roman"/>
                <w:lang w:val="es-ES"/>
              </w:rPr>
              <w:t xml:space="preserve">Apoyar la aplicación de mapas de carreteras actualización resultantes de la EED / </w:t>
            </w:r>
            <w:r>
              <w:rPr>
                <w:rFonts w:ascii="Calibri" w:eastAsia="Calibri" w:hAnsi="Calibri" w:cs="Times New Roman"/>
                <w:lang w:val="es-ES"/>
              </w:rPr>
              <w:t>EPBD.</w:t>
            </w:r>
          </w:p>
          <w:p w:rsidR="00A544AF" w:rsidRPr="00A544AF" w:rsidRDefault="00790741" w:rsidP="00A5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A544AF" w:rsidRPr="00A544AF">
              <w:rPr>
                <w:rFonts w:ascii="Calibri" w:eastAsia="Calibri" w:hAnsi="Calibri" w:cs="Times New Roman"/>
                <w:lang w:val="es-ES"/>
              </w:rPr>
              <w:t>Frente a la brecha entre el rendimiento energético diseñado y real; de apoyo a los estándares de rendimiento de energía fiables, la calidad de los sistemas de certificación y etiquetado, etc.</w:t>
            </w:r>
          </w:p>
          <w:p w:rsidR="00790741" w:rsidRDefault="00790741" w:rsidP="00790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A544AF" w:rsidRPr="00A544AF">
              <w:rPr>
                <w:rFonts w:ascii="Calibri" w:eastAsia="Calibri" w:hAnsi="Calibri" w:cs="Times New Roman"/>
                <w:lang w:val="es-ES"/>
              </w:rPr>
              <w:t>Aumentar el número de renovacion</w:t>
            </w:r>
            <w:r>
              <w:rPr>
                <w:rFonts w:ascii="Calibri" w:eastAsia="Calibri" w:hAnsi="Calibri" w:cs="Times New Roman"/>
                <w:lang w:val="es-ES"/>
              </w:rPr>
              <w:t>es en profundidad por medio de:</w:t>
            </w:r>
          </w:p>
          <w:p w:rsidR="00A544AF" w:rsidRPr="004938DC" w:rsidRDefault="00A544AF" w:rsidP="004938DC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4938DC">
              <w:rPr>
                <w:rFonts w:ascii="Calibri" w:eastAsia="Calibri" w:hAnsi="Calibri" w:cs="Times New Roman"/>
                <w:lang w:val="es-ES"/>
              </w:rPr>
              <w:t xml:space="preserve">Las soluciones que ofrecen la renovación profunda asequible para un gran </w:t>
            </w:r>
            <w:r w:rsidR="004938DC" w:rsidRPr="004938DC">
              <w:rPr>
                <w:rFonts w:ascii="Calibri" w:eastAsia="Calibri" w:hAnsi="Calibri" w:cs="Times New Roman"/>
                <w:lang w:val="es-ES"/>
              </w:rPr>
              <w:t xml:space="preserve">        </w:t>
            </w:r>
            <w:r w:rsidRPr="004938DC">
              <w:rPr>
                <w:rFonts w:ascii="Calibri" w:eastAsia="Calibri" w:hAnsi="Calibri" w:cs="Times New Roman"/>
                <w:lang w:val="es-ES"/>
              </w:rPr>
              <w:t>número de consumidores individuales</w:t>
            </w:r>
            <w:r w:rsidR="004938DC"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A544AF" w:rsidRPr="004938DC" w:rsidRDefault="00A544AF" w:rsidP="004938DC">
            <w:pPr>
              <w:pStyle w:val="Prrafodelist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 w:rsidRPr="004938DC">
              <w:rPr>
                <w:rFonts w:ascii="Calibri" w:eastAsia="Calibri" w:hAnsi="Calibri" w:cs="Times New Roman"/>
                <w:lang w:val="es-ES"/>
              </w:rPr>
              <w:t>Orientación de grandes grupos de unidades de construcción con el fin de aprovechar las oportunidades de simplificación y reducción de costes y el potencial de replicación.</w:t>
            </w:r>
          </w:p>
          <w:p w:rsidR="00F01168" w:rsidRPr="00E456E9" w:rsidRDefault="004938DC" w:rsidP="00A5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>-</w:t>
            </w:r>
            <w:r w:rsidR="00A544AF" w:rsidRPr="00A544AF">
              <w:rPr>
                <w:rFonts w:ascii="Calibri" w:eastAsia="Calibri" w:hAnsi="Calibri" w:cs="Times New Roman"/>
                <w:lang w:val="es-ES"/>
              </w:rPr>
              <w:t>Apoyar el uso de los mecanismos financieros existentes, los instrumentos y modelos de negocio innovadores para hacer frente a los fallos del mercado, en particular, división de incentivos.</w:t>
            </w:r>
          </w:p>
        </w:tc>
      </w:tr>
    </w:tbl>
    <w:p w:rsidR="00790741" w:rsidRDefault="00F57B62" w:rsidP="007907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Ver </w:t>
      </w:r>
      <w:proofErr w:type="spellStart"/>
      <w:r w:rsidRPr="00F57B62">
        <w:rPr>
          <w:rFonts w:ascii="Calibri" w:eastAsia="Calibri" w:hAnsi="Calibri" w:cs="Times New Roman"/>
          <w:b/>
          <w:sz w:val="24"/>
          <w:szCs w:val="24"/>
        </w:rPr>
        <w:t>info</w:t>
      </w:r>
      <w:proofErr w:type="spellEnd"/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 completa en:</w:t>
      </w:r>
    </w:p>
    <w:p w:rsidR="009F1A8E" w:rsidRPr="00274CCD" w:rsidRDefault="009F1A8E" w:rsidP="007907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lang w:val="es-ES_tradnl"/>
        </w:rPr>
      </w:pPr>
      <w:hyperlink r:id="rId7" w:history="1">
        <w:r w:rsidRPr="0041323D">
          <w:rPr>
            <w:rStyle w:val="Hipervnculo"/>
            <w:lang w:val="es-ES_tradnl"/>
          </w:rPr>
          <w:t>http://ec.europa.eu/research/participants/portal/desktop/en/opportunities/h2020/topics/4097-ee-11-2016-2017.html</w:t>
        </w:r>
      </w:hyperlink>
      <w:bookmarkStart w:id="0" w:name="_GoBack"/>
      <w:bookmarkEnd w:id="0"/>
    </w:p>
    <w:sectPr w:rsidR="009F1A8E" w:rsidRPr="00274CCD" w:rsidSect="00B500A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F5" w:rsidRDefault="00F248F5">
      <w:pPr>
        <w:spacing w:after="0" w:line="240" w:lineRule="auto"/>
      </w:pPr>
      <w:r>
        <w:separator/>
      </w:r>
    </w:p>
  </w:endnote>
  <w:endnote w:type="continuationSeparator" w:id="0">
    <w:p w:rsidR="00F248F5" w:rsidRDefault="00F2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3021"/>
      <w:gridCol w:w="3137"/>
    </w:tblGrid>
    <w:tr w:rsidR="004E04AE" w:rsidRPr="00E221CA" w:rsidTr="001225C5">
      <w:tc>
        <w:tcPr>
          <w:tcW w:w="2881" w:type="dxa"/>
          <w:vAlign w:val="bottom"/>
        </w:tcPr>
        <w:p w:rsidR="004E04AE" w:rsidRPr="00F57B62" w:rsidRDefault="00992275" w:rsidP="0072023A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Bruselako Delegazioa</w:t>
          </w:r>
        </w:p>
        <w:p w:rsidR="004E04AE" w:rsidRPr="00F57B62" w:rsidRDefault="00992275" w:rsidP="0072023A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Delegation in Brussels</w:t>
          </w:r>
        </w:p>
      </w:tc>
      <w:tc>
        <w:tcPr>
          <w:tcW w:w="3021" w:type="dxa"/>
        </w:tcPr>
        <w:p w:rsidR="004E04AE" w:rsidRPr="002802E5" w:rsidRDefault="00992275" w:rsidP="0072023A">
          <w:pPr>
            <w:pStyle w:val="Piedepgina1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eastAsia="es-ES"/>
            </w:rPr>
            <w:drawing>
              <wp:inline distT="0" distB="0" distL="0" distR="0" wp14:anchorId="42A3C5D2" wp14:editId="1FE8DFC2">
                <wp:extent cx="1781175" cy="489328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:rsidR="004E04AE" w:rsidRPr="001225C5" w:rsidRDefault="00992275" w:rsidP="0072023A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:rsidR="004E04AE" w:rsidRPr="001225C5" w:rsidRDefault="00992275" w:rsidP="001225C5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r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</w:p>
      </w:tc>
    </w:tr>
  </w:tbl>
  <w:p w:rsidR="004E04AE" w:rsidRPr="004E04AE" w:rsidRDefault="00F248F5">
    <w:pPr>
      <w:pStyle w:val="Piedepgina1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F5" w:rsidRDefault="00F248F5">
      <w:pPr>
        <w:spacing w:after="0" w:line="240" w:lineRule="auto"/>
      </w:pPr>
      <w:r>
        <w:separator/>
      </w:r>
    </w:p>
  </w:footnote>
  <w:footnote w:type="continuationSeparator" w:id="0">
    <w:p w:rsidR="00F248F5" w:rsidRDefault="00F2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4E04AE" w:rsidTr="0072023A">
      <w:tc>
        <w:tcPr>
          <w:tcW w:w="4322" w:type="dxa"/>
          <w:vAlign w:val="center"/>
        </w:tcPr>
        <w:p w:rsidR="004E04AE" w:rsidRPr="004E20C4" w:rsidRDefault="00992275" w:rsidP="0072023A">
          <w:pPr>
            <w:pStyle w:val="Encabezado1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:rsidR="004E04AE" w:rsidRDefault="00F248F5" w:rsidP="0072023A">
          <w:pPr>
            <w:pStyle w:val="Encabezado1"/>
            <w:ind w:left="2832"/>
          </w:pPr>
        </w:p>
      </w:tc>
    </w:tr>
  </w:tbl>
  <w:p w:rsidR="004E04AE" w:rsidRDefault="00992275" w:rsidP="001225C5">
    <w:pPr>
      <w:pStyle w:val="Encabezado1"/>
      <w:jc w:val="right"/>
    </w:pPr>
    <w:r>
      <w:rPr>
        <w:noProof/>
        <w:lang w:eastAsia="es-ES"/>
      </w:rPr>
      <w:drawing>
        <wp:inline distT="0" distB="0" distL="0" distR="0" wp14:anchorId="3DF0BAC7" wp14:editId="573A29C0">
          <wp:extent cx="942975" cy="352425"/>
          <wp:effectExtent l="0" t="0" r="9525" b="9525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7"/>
    <w:multiLevelType w:val="hybridMultilevel"/>
    <w:tmpl w:val="4E5482B8"/>
    <w:lvl w:ilvl="0" w:tplc="226E61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0BB"/>
    <w:multiLevelType w:val="hybridMultilevel"/>
    <w:tmpl w:val="8ED62B5C"/>
    <w:lvl w:ilvl="0" w:tplc="619C22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273"/>
    <w:multiLevelType w:val="hybridMultilevel"/>
    <w:tmpl w:val="78908AE4"/>
    <w:lvl w:ilvl="0" w:tplc="812AA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D7D"/>
    <w:multiLevelType w:val="hybridMultilevel"/>
    <w:tmpl w:val="7CB228DC"/>
    <w:lvl w:ilvl="0" w:tplc="9EBC0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4335F"/>
    <w:multiLevelType w:val="multilevel"/>
    <w:tmpl w:val="F0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D4920"/>
    <w:multiLevelType w:val="hybridMultilevel"/>
    <w:tmpl w:val="9DAC5C6E"/>
    <w:lvl w:ilvl="0" w:tplc="9A203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7457"/>
    <w:multiLevelType w:val="hybridMultilevel"/>
    <w:tmpl w:val="2EB4FA64"/>
    <w:lvl w:ilvl="0" w:tplc="44EEA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000E"/>
    <w:multiLevelType w:val="hybridMultilevel"/>
    <w:tmpl w:val="3230BB06"/>
    <w:lvl w:ilvl="0" w:tplc="F58A62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1B0B"/>
    <w:multiLevelType w:val="multilevel"/>
    <w:tmpl w:val="412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D33C1"/>
    <w:multiLevelType w:val="hybridMultilevel"/>
    <w:tmpl w:val="B040010A"/>
    <w:lvl w:ilvl="0" w:tplc="E4646C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B0C34"/>
    <w:multiLevelType w:val="hybridMultilevel"/>
    <w:tmpl w:val="DEF850C0"/>
    <w:lvl w:ilvl="0" w:tplc="0C0A0005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2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742EE7"/>
    <w:multiLevelType w:val="multilevel"/>
    <w:tmpl w:val="214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66EFE"/>
    <w:multiLevelType w:val="multilevel"/>
    <w:tmpl w:val="89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27ACE"/>
    <w:multiLevelType w:val="hybridMultilevel"/>
    <w:tmpl w:val="3F58A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  <w:num w:numId="13">
    <w:abstractNumId w:val="10"/>
  </w:num>
  <w:num w:numId="14">
    <w:abstractNumId w:val="8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12B66"/>
    <w:rsid w:val="00022FFA"/>
    <w:rsid w:val="000979A4"/>
    <w:rsid w:val="000C6186"/>
    <w:rsid w:val="00105170"/>
    <w:rsid w:val="001338C8"/>
    <w:rsid w:val="001623F6"/>
    <w:rsid w:val="00170DEF"/>
    <w:rsid w:val="001A1E46"/>
    <w:rsid w:val="001A7AA5"/>
    <w:rsid w:val="001B7BFA"/>
    <w:rsid w:val="001C4426"/>
    <w:rsid w:val="001D24C6"/>
    <w:rsid w:val="001F4DF5"/>
    <w:rsid w:val="002177CC"/>
    <w:rsid w:val="00221545"/>
    <w:rsid w:val="00234D03"/>
    <w:rsid w:val="00251E4A"/>
    <w:rsid w:val="002608FB"/>
    <w:rsid w:val="00274CCD"/>
    <w:rsid w:val="00275FB4"/>
    <w:rsid w:val="002911B0"/>
    <w:rsid w:val="00296D47"/>
    <w:rsid w:val="002C5A5F"/>
    <w:rsid w:val="002C65B6"/>
    <w:rsid w:val="002E1586"/>
    <w:rsid w:val="002F38A2"/>
    <w:rsid w:val="00312A51"/>
    <w:rsid w:val="00313382"/>
    <w:rsid w:val="003165FB"/>
    <w:rsid w:val="00327F3A"/>
    <w:rsid w:val="003328DC"/>
    <w:rsid w:val="00337D2B"/>
    <w:rsid w:val="00372CCC"/>
    <w:rsid w:val="00385E62"/>
    <w:rsid w:val="003925BF"/>
    <w:rsid w:val="00392E36"/>
    <w:rsid w:val="003B0CB0"/>
    <w:rsid w:val="003E00C7"/>
    <w:rsid w:val="004148F8"/>
    <w:rsid w:val="004938DC"/>
    <w:rsid w:val="004D1D28"/>
    <w:rsid w:val="00500186"/>
    <w:rsid w:val="00521B0A"/>
    <w:rsid w:val="00587539"/>
    <w:rsid w:val="005A3F0E"/>
    <w:rsid w:val="005A44E2"/>
    <w:rsid w:val="005B2270"/>
    <w:rsid w:val="005C7B34"/>
    <w:rsid w:val="005D5172"/>
    <w:rsid w:val="005E10AE"/>
    <w:rsid w:val="0060112A"/>
    <w:rsid w:val="006157B5"/>
    <w:rsid w:val="00635E94"/>
    <w:rsid w:val="0065131B"/>
    <w:rsid w:val="00655268"/>
    <w:rsid w:val="0068606D"/>
    <w:rsid w:val="006A6A4B"/>
    <w:rsid w:val="006C77FF"/>
    <w:rsid w:val="00731378"/>
    <w:rsid w:val="00771E86"/>
    <w:rsid w:val="00780F98"/>
    <w:rsid w:val="00790741"/>
    <w:rsid w:val="00794CB6"/>
    <w:rsid w:val="007B213D"/>
    <w:rsid w:val="007B384F"/>
    <w:rsid w:val="007D5767"/>
    <w:rsid w:val="007D6208"/>
    <w:rsid w:val="007E251D"/>
    <w:rsid w:val="00807877"/>
    <w:rsid w:val="008219DA"/>
    <w:rsid w:val="00841E05"/>
    <w:rsid w:val="008433AB"/>
    <w:rsid w:val="008521E4"/>
    <w:rsid w:val="008B6830"/>
    <w:rsid w:val="008E72EE"/>
    <w:rsid w:val="00912454"/>
    <w:rsid w:val="00936F80"/>
    <w:rsid w:val="00963880"/>
    <w:rsid w:val="00973358"/>
    <w:rsid w:val="00992275"/>
    <w:rsid w:val="009C21FB"/>
    <w:rsid w:val="009F1A8E"/>
    <w:rsid w:val="00A00CB1"/>
    <w:rsid w:val="00A06D87"/>
    <w:rsid w:val="00A10539"/>
    <w:rsid w:val="00A37670"/>
    <w:rsid w:val="00A40D1E"/>
    <w:rsid w:val="00A544AF"/>
    <w:rsid w:val="00A6260D"/>
    <w:rsid w:val="00A81D99"/>
    <w:rsid w:val="00A86128"/>
    <w:rsid w:val="00A901B2"/>
    <w:rsid w:val="00AA2C38"/>
    <w:rsid w:val="00AB6C81"/>
    <w:rsid w:val="00AD3FCA"/>
    <w:rsid w:val="00AF1D74"/>
    <w:rsid w:val="00AF5BAF"/>
    <w:rsid w:val="00B0002C"/>
    <w:rsid w:val="00B04FEA"/>
    <w:rsid w:val="00B14B1F"/>
    <w:rsid w:val="00B27626"/>
    <w:rsid w:val="00B47034"/>
    <w:rsid w:val="00B556A7"/>
    <w:rsid w:val="00B71DF5"/>
    <w:rsid w:val="00B84210"/>
    <w:rsid w:val="00BF63D2"/>
    <w:rsid w:val="00C17B67"/>
    <w:rsid w:val="00CD7CB6"/>
    <w:rsid w:val="00CE41B8"/>
    <w:rsid w:val="00CF0AE1"/>
    <w:rsid w:val="00D05366"/>
    <w:rsid w:val="00D11C77"/>
    <w:rsid w:val="00D44D0C"/>
    <w:rsid w:val="00D83639"/>
    <w:rsid w:val="00D86BC6"/>
    <w:rsid w:val="00E0098F"/>
    <w:rsid w:val="00E14DD4"/>
    <w:rsid w:val="00E221CA"/>
    <w:rsid w:val="00E36E53"/>
    <w:rsid w:val="00E42496"/>
    <w:rsid w:val="00E44DC2"/>
    <w:rsid w:val="00E456E9"/>
    <w:rsid w:val="00E866BE"/>
    <w:rsid w:val="00E95E3B"/>
    <w:rsid w:val="00EE0F3D"/>
    <w:rsid w:val="00EE2A18"/>
    <w:rsid w:val="00EF1090"/>
    <w:rsid w:val="00F00591"/>
    <w:rsid w:val="00F01168"/>
    <w:rsid w:val="00F07BEF"/>
    <w:rsid w:val="00F248F5"/>
    <w:rsid w:val="00F270BC"/>
    <w:rsid w:val="00F46617"/>
    <w:rsid w:val="00F57B62"/>
    <w:rsid w:val="00F832D9"/>
    <w:rsid w:val="00FA7CD1"/>
    <w:rsid w:val="00FC6F24"/>
    <w:rsid w:val="00FC76D4"/>
    <w:rsid w:val="00FD09EC"/>
    <w:rsid w:val="00FD36D1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C0B9"/>
  <w15:docId w15:val="{487C985E-19DB-4576-8C12-ECD7842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57B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F57B62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F57B62"/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57B62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Tablaconcuadrcula">
    <w:name w:val="Table Grid"/>
    <w:basedOn w:val="Tablanormal"/>
    <w:uiPriority w:val="59"/>
    <w:rsid w:val="00F5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F57B62"/>
  </w:style>
  <w:style w:type="paragraph" w:styleId="Piedepgina">
    <w:name w:val="footer"/>
    <w:basedOn w:val="Normal"/>
    <w:link w:val="Piedepgina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F57B62"/>
  </w:style>
  <w:style w:type="table" w:styleId="Cuadrculamedia1-nfasis1">
    <w:name w:val="Medium Grid 1 Accent 1"/>
    <w:basedOn w:val="Tablanormal"/>
    <w:uiPriority w:val="67"/>
    <w:rsid w:val="00F57B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51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638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portal/desktop/en/opportunities/h2020/topics/4097-ee-11-2016-20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FIGUEROA, Ana</dc:creator>
  <cp:lastModifiedBy>Becario NAVARRA (ELEXPE BASTIDA,Oscar</cp:lastModifiedBy>
  <cp:revision>57</cp:revision>
  <dcterms:created xsi:type="dcterms:W3CDTF">2016-01-29T14:13:00Z</dcterms:created>
  <dcterms:modified xsi:type="dcterms:W3CDTF">2016-06-20T11:21:00Z</dcterms:modified>
</cp:coreProperties>
</file>