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873206">
        <w:tc>
          <w:tcPr>
            <w:tcW w:w="10173" w:type="dxa"/>
          </w:tcPr>
          <w:p w:rsidR="00F57B62" w:rsidRPr="00E14DD4" w:rsidRDefault="00A544AF" w:rsidP="003C4A50">
            <w:pPr>
              <w:pBdr>
                <w:top w:val="single" w:sz="6" w:space="1" w:color="auto"/>
                <w:bottom w:val="single" w:sz="6" w:space="1" w:color="auto"/>
              </w:pBdr>
              <w:jc w:val="center"/>
              <w:rPr>
                <w:rFonts w:ascii="Calibri" w:eastAsia="Calibri" w:hAnsi="Calibri" w:cs="Times New Roman"/>
                <w:b/>
                <w:bCs/>
                <w:color w:val="4472C4"/>
                <w:sz w:val="36"/>
                <w:szCs w:val="36"/>
              </w:rPr>
            </w:pPr>
            <w:r>
              <w:rPr>
                <w:rFonts w:ascii="Calibri" w:eastAsia="Calibri" w:hAnsi="Calibri" w:cs="Times New Roman"/>
                <w:b/>
                <w:color w:val="4472C4"/>
                <w:sz w:val="36"/>
                <w:szCs w:val="36"/>
              </w:rPr>
              <w:t xml:space="preserve">La </w:t>
            </w:r>
            <w:r w:rsidR="003C4A50">
              <w:rPr>
                <w:rFonts w:ascii="Calibri" w:eastAsia="Calibri" w:hAnsi="Calibri" w:cs="Times New Roman"/>
                <w:b/>
                <w:color w:val="4472C4"/>
                <w:sz w:val="36"/>
                <w:szCs w:val="36"/>
              </w:rPr>
              <w:t>reducción de costes de los nuevos edificios casi energía cero</w:t>
            </w:r>
            <w:r w:rsidR="00F57B62"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F57B62" w:rsidTr="00873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 xml:space="preserve">Objeto de la </w:t>
            </w:r>
            <w:r>
              <w:rPr>
                <w:rFonts w:ascii="Calibri" w:eastAsia="Calibri" w:hAnsi="Calibri" w:cs="Times New Roman"/>
              </w:rPr>
              <w:t>s</w:t>
            </w:r>
            <w:r w:rsidRPr="00F57B62">
              <w:rPr>
                <w:rFonts w:ascii="Calibri" w:eastAsia="Calibri" w:hAnsi="Calibri" w:cs="Times New Roman"/>
              </w:rPr>
              <w:t>ubvención</w:t>
            </w:r>
          </w:p>
        </w:tc>
        <w:tc>
          <w:tcPr>
            <w:tcW w:w="8364" w:type="dxa"/>
          </w:tcPr>
          <w:p w:rsidR="00F57B62" w:rsidRPr="00385E62" w:rsidRDefault="003C4A50" w:rsidP="00FD49D8">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3C4A50">
              <w:rPr>
                <w:rFonts w:eastAsia="Calibri" w:cs="Times New Roman"/>
                <w:b w:val="0"/>
              </w:rPr>
              <w:t>De acuerdo con el artículo 9 de la Directiva sobre edificios</w:t>
            </w:r>
            <w:r w:rsidR="00FD49D8">
              <w:rPr>
                <w:rFonts w:eastAsia="Calibri" w:cs="Times New Roman"/>
                <w:b w:val="0"/>
              </w:rPr>
              <w:t xml:space="preserve">, </w:t>
            </w:r>
            <w:r w:rsidRPr="003C4A50">
              <w:rPr>
                <w:rFonts w:eastAsia="Calibri" w:cs="Times New Roman"/>
                <w:b w:val="0"/>
              </w:rPr>
              <w:t>Rendimiento de la Energía (EPBD), los Estados miembros se asegurarán de que, a finales de 2020 (2018 en los edificios públicos), todos los edificios nuevos son casi edificios de energía cero (NZEB). Sin embargo, el progreso es más lento de lo esperado y requiere el desarrollo de soluciones de reducci</w:t>
            </w:r>
            <w:r w:rsidR="00FD49D8">
              <w:rPr>
                <w:rFonts w:eastAsia="Calibri" w:cs="Times New Roman"/>
                <w:b w:val="0"/>
              </w:rPr>
              <w:t>ón de costos de mercado listo. R</w:t>
            </w:r>
            <w:r w:rsidRPr="003C4A50">
              <w:rPr>
                <w:rFonts w:eastAsia="Calibri" w:cs="Times New Roman"/>
                <w:b w:val="0"/>
              </w:rPr>
              <w:t>entable integración de los elementos de producción de energía renovables en NZEB en una forma que se adapta a los procesos de diseño y contratación de la industria de la construcción es un reto importante. La aplicación generalizada y despliegue de medios para el desarrollo rentable de NZEB aceleraría el mercado. La importante reducción de costes que se requiere para NZEB corriente para el año 2018 es probable que giran en torno a los procesos en lugar de tecnologías. Existe una necesidad adicional de mirar más allá del rendimiento NZEB con una perspectiva a largo plazo. También se requiere apoyo para garantizar que los usuarios finales y los ocupantes apreciar el papel que desempeñan en el rendimiento energético del edificio.</w:t>
            </w:r>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Plazos</w:t>
            </w:r>
          </w:p>
        </w:tc>
        <w:tc>
          <w:tcPr>
            <w:tcW w:w="8364" w:type="dxa"/>
          </w:tcPr>
          <w:p w:rsidR="00F57B62" w:rsidRPr="00F57B62" w:rsidRDefault="001623F6" w:rsidP="001A7AA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Plazo de apertura: </w:t>
            </w:r>
            <w:r w:rsidR="001A7AA5">
              <w:rPr>
                <w:rFonts w:ascii="Calibri" w:eastAsia="Calibri" w:hAnsi="Calibri" w:cs="Times New Roman"/>
              </w:rPr>
              <w:t>15</w:t>
            </w:r>
            <w:r>
              <w:rPr>
                <w:rFonts w:ascii="Calibri" w:eastAsia="Calibri" w:hAnsi="Calibri" w:cs="Times New Roman"/>
              </w:rPr>
              <w:t xml:space="preserve"> de </w:t>
            </w:r>
            <w:r w:rsidR="001A7AA5">
              <w:rPr>
                <w:rFonts w:ascii="Calibri" w:eastAsia="Calibri" w:hAnsi="Calibri" w:cs="Times New Roman"/>
              </w:rPr>
              <w:t>Marzo</w:t>
            </w:r>
            <w:r>
              <w:rPr>
                <w:rFonts w:ascii="Calibri" w:eastAsia="Calibri" w:hAnsi="Calibri" w:cs="Times New Roman"/>
              </w:rPr>
              <w:t xml:space="preserve"> de 2016  - </w:t>
            </w:r>
            <w:r w:rsidR="004148F8">
              <w:rPr>
                <w:rFonts w:ascii="Calibri" w:eastAsia="Calibri" w:hAnsi="Calibri" w:cs="Times New Roman"/>
              </w:rPr>
              <w:t xml:space="preserve">Plazo de cierre: </w:t>
            </w:r>
            <w:r w:rsidR="001A7AA5">
              <w:rPr>
                <w:rFonts w:ascii="Calibri" w:eastAsia="Calibri" w:hAnsi="Calibri" w:cs="Times New Roman"/>
              </w:rPr>
              <w:t>15</w:t>
            </w:r>
            <w:r w:rsidR="004148F8">
              <w:rPr>
                <w:rFonts w:ascii="Calibri" w:eastAsia="Calibri" w:hAnsi="Calibri" w:cs="Times New Roman"/>
              </w:rPr>
              <w:t xml:space="preserve"> de </w:t>
            </w:r>
            <w:r w:rsidR="001A7AA5">
              <w:rPr>
                <w:rFonts w:ascii="Calibri" w:eastAsia="Calibri" w:hAnsi="Calibri" w:cs="Times New Roman"/>
              </w:rPr>
              <w:t>Septiembre de 2016</w:t>
            </w:r>
            <w:r w:rsidR="004148F8">
              <w:rPr>
                <w:rFonts w:ascii="Calibri" w:eastAsia="Calibri" w:hAnsi="Calibri" w:cs="Times New Roman"/>
              </w:rPr>
              <w:t>.</w:t>
            </w:r>
          </w:p>
        </w:tc>
      </w:tr>
      <w:tr w:rsidR="00F57B62" w:rsidRPr="00F57B62" w:rsidTr="00873206">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5E10AE" w:rsidP="00F57B62">
            <w:pPr>
              <w:rPr>
                <w:rFonts w:ascii="Calibri" w:eastAsia="Calibri" w:hAnsi="Calibri" w:cs="Times New Roman"/>
              </w:rPr>
            </w:pPr>
            <w:r>
              <w:rPr>
                <w:rFonts w:ascii="Calibri" w:eastAsia="Calibri" w:hAnsi="Calibri" w:cs="Times New Roman"/>
              </w:rPr>
              <w:t>Presupuesto</w:t>
            </w:r>
          </w:p>
        </w:tc>
        <w:tc>
          <w:tcPr>
            <w:tcW w:w="8364" w:type="dxa"/>
          </w:tcPr>
          <w:p w:rsidR="00EE2A18" w:rsidRPr="00B556A7" w:rsidRDefault="005E10AE" w:rsidP="00B556A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t xml:space="preserve">Una bolsa de </w:t>
            </w:r>
            <w:r w:rsidR="00A544AF">
              <w:rPr>
                <w:b/>
              </w:rPr>
              <w:t>16</w:t>
            </w:r>
            <w:r w:rsidRPr="005E10AE">
              <w:rPr>
                <w:b/>
              </w:rPr>
              <w:t>.000.000 €</w:t>
            </w:r>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Observaciones</w:t>
            </w:r>
          </w:p>
        </w:tc>
        <w:tc>
          <w:tcPr>
            <w:tcW w:w="8364" w:type="dxa"/>
          </w:tcPr>
          <w:p w:rsidR="003C4A50" w:rsidRPr="003C4A50" w:rsidRDefault="003C4A50" w:rsidP="003C4A5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3C4A50">
              <w:rPr>
                <w:rFonts w:ascii="Calibri" w:eastAsia="Calibri" w:hAnsi="Calibri" w:cs="Times New Roman"/>
                <w:lang w:val="es-ES"/>
              </w:rPr>
              <w:t>Las propuestas deben centrarse en reducir el costo de diseño y construcción de nueva NZEB con el fin de incrementar su participación de mercado. Las propuestas deben explorar cómo mejorar el rendimiento más allá del nivel NZEB puede ser alcanzado mientras se mantiene un enfoque global sobre la reducción de costes.</w:t>
            </w:r>
          </w:p>
          <w:p w:rsidR="003C4A50" w:rsidRPr="003C4A50" w:rsidRDefault="003C4A50" w:rsidP="003C4A5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p w:rsidR="003C4A50" w:rsidRPr="003C4A50" w:rsidRDefault="003C4A50" w:rsidP="003C4A5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3C4A50">
              <w:rPr>
                <w:rFonts w:ascii="Calibri" w:eastAsia="Calibri" w:hAnsi="Calibri" w:cs="Times New Roman"/>
                <w:lang w:val="es-ES"/>
              </w:rPr>
              <w:t xml:space="preserve">Las propuestas deben explorar las formas rentables en el que </w:t>
            </w:r>
            <w:r w:rsidR="00170134" w:rsidRPr="003C4A50">
              <w:rPr>
                <w:rFonts w:ascii="Calibri" w:eastAsia="Calibri" w:hAnsi="Calibri" w:cs="Times New Roman"/>
                <w:lang w:val="es-ES"/>
              </w:rPr>
              <w:t>el elemento de generación de energía renovable puede</w:t>
            </w:r>
            <w:r w:rsidRPr="003C4A50">
              <w:rPr>
                <w:rFonts w:ascii="Calibri" w:eastAsia="Calibri" w:hAnsi="Calibri" w:cs="Times New Roman"/>
                <w:lang w:val="es-ES"/>
              </w:rPr>
              <w:t xml:space="preserve"> ser integrado en NZEB, ya sea en el lugar o cerca del distrito a través de soluciones. Las propuestas pueden tener en cuenta las formas en que estos edificios pueden interactuar entre sí a nivel de distrito. Propuestas, además, podrían estudiar y monitorear soluciones que mejoran la experiencia del usuario final de estos edificios, y que contribuyan a una mayor aceptación pública de la necesidad de reducir el consumo de energía en los edificios.</w:t>
            </w:r>
          </w:p>
          <w:p w:rsidR="003C4A50" w:rsidRPr="003C4A50" w:rsidRDefault="003C4A50" w:rsidP="003C4A5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p w:rsidR="00F01168" w:rsidRPr="00E456E9" w:rsidRDefault="00170134" w:rsidP="003C4A5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A</w:t>
            </w:r>
            <w:r w:rsidR="003C4A50" w:rsidRPr="003C4A50">
              <w:rPr>
                <w:rFonts w:ascii="Calibri" w:eastAsia="Calibri" w:hAnsi="Calibri" w:cs="Times New Roman"/>
                <w:lang w:val="es-ES"/>
              </w:rPr>
              <w:t>horro de energía y reducción de costes deben aplicarse a todo el ciclo de vida del edificio. Este desafío se refiere a la totalidad del proceso de construcción, incluyendo la creación, planificación, diseño, prefabricación, en el lugar de operaciones y revisiones posteriores a la construcción. Las propuestas pueden abordar uno o más aspectos de todo el proceso.</w:t>
            </w:r>
          </w:p>
        </w:tc>
      </w:tr>
    </w:tbl>
    <w:p w:rsidR="00790741" w:rsidRDefault="00F57B62" w:rsidP="00790741">
      <w:pPr>
        <w:pBdr>
          <w:top w:val="single" w:sz="6" w:space="1" w:color="auto"/>
          <w:bottom w:val="single" w:sz="6" w:space="1" w:color="auto"/>
        </w:pBdr>
        <w:spacing w:after="0" w:line="240" w:lineRule="auto"/>
        <w:rPr>
          <w:rFonts w:ascii="Calibri" w:eastAsia="Calibri" w:hAnsi="Calibri" w:cs="Times New Roman"/>
          <w:b/>
          <w:sz w:val="24"/>
          <w:szCs w:val="24"/>
        </w:rPr>
      </w:pPr>
      <w:r w:rsidRPr="00F57B62">
        <w:rPr>
          <w:rFonts w:ascii="Calibri" w:eastAsia="Calibri" w:hAnsi="Calibri" w:cs="Times New Roman"/>
          <w:b/>
          <w:sz w:val="24"/>
          <w:szCs w:val="24"/>
        </w:rPr>
        <w:t xml:space="preserve">Ver </w:t>
      </w:r>
      <w:proofErr w:type="spellStart"/>
      <w:r w:rsidRPr="00F57B62">
        <w:rPr>
          <w:rFonts w:ascii="Calibri" w:eastAsia="Calibri" w:hAnsi="Calibri" w:cs="Times New Roman"/>
          <w:b/>
          <w:sz w:val="24"/>
          <w:szCs w:val="24"/>
        </w:rPr>
        <w:t>info</w:t>
      </w:r>
      <w:proofErr w:type="spellEnd"/>
      <w:r w:rsidRPr="00F57B62">
        <w:rPr>
          <w:rFonts w:ascii="Calibri" w:eastAsia="Calibri" w:hAnsi="Calibri" w:cs="Times New Roman"/>
          <w:b/>
          <w:sz w:val="24"/>
          <w:szCs w:val="24"/>
        </w:rPr>
        <w:t xml:space="preserve"> completa en:</w:t>
      </w:r>
    </w:p>
    <w:p w:rsidR="00170134" w:rsidRPr="00274CCD" w:rsidRDefault="00170134" w:rsidP="00790741">
      <w:pPr>
        <w:pBdr>
          <w:top w:val="single" w:sz="6" w:space="1" w:color="auto"/>
          <w:bottom w:val="single" w:sz="6" w:space="1" w:color="auto"/>
        </w:pBdr>
        <w:spacing w:after="0" w:line="240" w:lineRule="auto"/>
        <w:rPr>
          <w:lang w:val="es-ES_tradnl"/>
        </w:rPr>
      </w:pPr>
      <w:hyperlink r:id="rId7" w:history="1">
        <w:r w:rsidRPr="00F07996">
          <w:rPr>
            <w:rStyle w:val="Hipervnculo"/>
            <w:lang w:val="es-ES_tradnl"/>
          </w:rPr>
          <w:t>http://ec.europa.eu/research/participants/portal/desktop/en/opportunities/h2020/topics/4091-ee-13-2016.html</w:t>
        </w:r>
      </w:hyperlink>
      <w:bookmarkStart w:id="0" w:name="_GoBack"/>
      <w:bookmarkEnd w:id="0"/>
    </w:p>
    <w:sectPr w:rsidR="00170134" w:rsidRPr="00274CCD" w:rsidSect="00B500A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AE" w:rsidRDefault="00AB2FAE">
      <w:pPr>
        <w:spacing w:after="0" w:line="240" w:lineRule="auto"/>
      </w:pPr>
      <w:r>
        <w:separator/>
      </w:r>
    </w:p>
  </w:endnote>
  <w:endnote w:type="continuationSeparator" w:id="0">
    <w:p w:rsidR="00AB2FAE" w:rsidRDefault="00AB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021"/>
      <w:gridCol w:w="3137"/>
    </w:tblGrid>
    <w:tr w:rsidR="004E04AE" w:rsidRPr="00E221CA" w:rsidTr="001225C5">
      <w:tc>
        <w:tcPr>
          <w:tcW w:w="2881" w:type="dxa"/>
          <w:vAlign w:val="bottom"/>
        </w:tcPr>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4E04AE" w:rsidRPr="002802E5" w:rsidRDefault="00992275" w:rsidP="0072023A">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4E04AE" w:rsidRPr="001225C5" w:rsidRDefault="00992275" w:rsidP="0072023A">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4E04AE" w:rsidRPr="001225C5" w:rsidRDefault="00992275" w:rsidP="001225C5">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4E04AE" w:rsidRPr="004E04AE" w:rsidRDefault="00AB2FAE">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AE" w:rsidRDefault="00AB2FAE">
      <w:pPr>
        <w:spacing w:after="0" w:line="240" w:lineRule="auto"/>
      </w:pPr>
      <w:r>
        <w:separator/>
      </w:r>
    </w:p>
  </w:footnote>
  <w:footnote w:type="continuationSeparator" w:id="0">
    <w:p w:rsidR="00AB2FAE" w:rsidRDefault="00AB2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4E04AE" w:rsidTr="0072023A">
      <w:tc>
        <w:tcPr>
          <w:tcW w:w="4322" w:type="dxa"/>
          <w:vAlign w:val="center"/>
        </w:tcPr>
        <w:p w:rsidR="004E04AE" w:rsidRPr="004E20C4" w:rsidRDefault="00992275" w:rsidP="0072023A">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4E04AE" w:rsidRDefault="00AB2FAE" w:rsidP="0072023A">
          <w:pPr>
            <w:pStyle w:val="Encabezado1"/>
            <w:ind w:left="2832"/>
          </w:pPr>
        </w:p>
      </w:tc>
    </w:tr>
  </w:tbl>
  <w:p w:rsidR="004E04AE" w:rsidRDefault="00992275" w:rsidP="001225C5">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11000E"/>
    <w:multiLevelType w:val="hybridMultilevel"/>
    <w:tmpl w:val="3230BB06"/>
    <w:lvl w:ilvl="0" w:tplc="F58A62A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33C1"/>
    <w:multiLevelType w:val="hybridMultilevel"/>
    <w:tmpl w:val="B040010A"/>
    <w:lvl w:ilvl="0" w:tplc="E4646C7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3B0C34"/>
    <w:multiLevelType w:val="hybridMultilevel"/>
    <w:tmpl w:val="DEF850C0"/>
    <w:lvl w:ilvl="0" w:tplc="0C0A0005">
      <w:start w:val="1"/>
      <w:numFmt w:val="bullet"/>
      <w:lvlText w:val=""/>
      <w:lvlJc w:val="left"/>
      <w:pPr>
        <w:ind w:left="883" w:hanging="360"/>
      </w:pPr>
      <w:rPr>
        <w:rFonts w:ascii="Wingdings" w:hAnsi="Wingdings"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12"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27ACE"/>
    <w:multiLevelType w:val="hybridMultilevel"/>
    <w:tmpl w:val="3F58A1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5"/>
  </w:num>
  <w:num w:numId="5">
    <w:abstractNumId w:val="9"/>
  </w:num>
  <w:num w:numId="6">
    <w:abstractNumId w:val="14"/>
  </w:num>
  <w:num w:numId="7">
    <w:abstractNumId w:val="13"/>
  </w:num>
  <w:num w:numId="8">
    <w:abstractNumId w:val="6"/>
  </w:num>
  <w:num w:numId="9">
    <w:abstractNumId w:val="3"/>
  </w:num>
  <w:num w:numId="10">
    <w:abstractNumId w:val="2"/>
  </w:num>
  <w:num w:numId="11">
    <w:abstractNumId w:val="1"/>
  </w:num>
  <w:num w:numId="12">
    <w:abstractNumId w:val="7"/>
  </w:num>
  <w:num w:numId="13">
    <w:abstractNumId w:val="10"/>
  </w:num>
  <w:num w:numId="14">
    <w:abstractNumId w:val="8"/>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62"/>
    <w:rsid w:val="00012B66"/>
    <w:rsid w:val="00022FFA"/>
    <w:rsid w:val="000979A4"/>
    <w:rsid w:val="000C6186"/>
    <w:rsid w:val="00105170"/>
    <w:rsid w:val="001338C8"/>
    <w:rsid w:val="001623F6"/>
    <w:rsid w:val="00170134"/>
    <w:rsid w:val="00170DEF"/>
    <w:rsid w:val="001A1E46"/>
    <w:rsid w:val="001A7AA5"/>
    <w:rsid w:val="001B7BFA"/>
    <w:rsid w:val="001C4426"/>
    <w:rsid w:val="001D24C6"/>
    <w:rsid w:val="001F4DF5"/>
    <w:rsid w:val="002177CC"/>
    <w:rsid w:val="00221545"/>
    <w:rsid w:val="00234D03"/>
    <w:rsid w:val="00251E4A"/>
    <w:rsid w:val="002608FB"/>
    <w:rsid w:val="00274CCD"/>
    <w:rsid w:val="00275FB4"/>
    <w:rsid w:val="002911B0"/>
    <w:rsid w:val="00296D47"/>
    <w:rsid w:val="002C5A5F"/>
    <w:rsid w:val="002C65B6"/>
    <w:rsid w:val="002E1586"/>
    <w:rsid w:val="002F38A2"/>
    <w:rsid w:val="00312A51"/>
    <w:rsid w:val="00313382"/>
    <w:rsid w:val="003165FB"/>
    <w:rsid w:val="00327F3A"/>
    <w:rsid w:val="003328DC"/>
    <w:rsid w:val="00337D2B"/>
    <w:rsid w:val="00372CCC"/>
    <w:rsid w:val="00385E62"/>
    <w:rsid w:val="003925BF"/>
    <w:rsid w:val="00392E36"/>
    <w:rsid w:val="003B0CB0"/>
    <w:rsid w:val="003C4A50"/>
    <w:rsid w:val="003E00C7"/>
    <w:rsid w:val="004148F8"/>
    <w:rsid w:val="004938DC"/>
    <w:rsid w:val="004D1D28"/>
    <w:rsid w:val="00500186"/>
    <w:rsid w:val="00521B0A"/>
    <w:rsid w:val="00587539"/>
    <w:rsid w:val="005A3F0E"/>
    <w:rsid w:val="005A44E2"/>
    <w:rsid w:val="005B2270"/>
    <w:rsid w:val="005C7B34"/>
    <w:rsid w:val="005D5172"/>
    <w:rsid w:val="005E10AE"/>
    <w:rsid w:val="0060112A"/>
    <w:rsid w:val="006157B5"/>
    <w:rsid w:val="00635E94"/>
    <w:rsid w:val="0065131B"/>
    <w:rsid w:val="00653591"/>
    <w:rsid w:val="00655268"/>
    <w:rsid w:val="0068606D"/>
    <w:rsid w:val="006A6A4B"/>
    <w:rsid w:val="006C77FF"/>
    <w:rsid w:val="00731378"/>
    <w:rsid w:val="00771E86"/>
    <w:rsid w:val="00780F98"/>
    <w:rsid w:val="00790741"/>
    <w:rsid w:val="00794CB6"/>
    <w:rsid w:val="007B213D"/>
    <w:rsid w:val="007B384F"/>
    <w:rsid w:val="007D5767"/>
    <w:rsid w:val="007D6208"/>
    <w:rsid w:val="007E251D"/>
    <w:rsid w:val="00807877"/>
    <w:rsid w:val="008219DA"/>
    <w:rsid w:val="00841E05"/>
    <w:rsid w:val="008433AB"/>
    <w:rsid w:val="008521E4"/>
    <w:rsid w:val="008B6830"/>
    <w:rsid w:val="008E72EE"/>
    <w:rsid w:val="00912454"/>
    <w:rsid w:val="00936F80"/>
    <w:rsid w:val="00963880"/>
    <w:rsid w:val="00973358"/>
    <w:rsid w:val="00992275"/>
    <w:rsid w:val="009C21FB"/>
    <w:rsid w:val="009F1A8E"/>
    <w:rsid w:val="00A00CB1"/>
    <w:rsid w:val="00A06D87"/>
    <w:rsid w:val="00A10539"/>
    <w:rsid w:val="00A37670"/>
    <w:rsid w:val="00A40D1E"/>
    <w:rsid w:val="00A544AF"/>
    <w:rsid w:val="00A6260D"/>
    <w:rsid w:val="00A81D99"/>
    <w:rsid w:val="00A86128"/>
    <w:rsid w:val="00A901B2"/>
    <w:rsid w:val="00AA2C38"/>
    <w:rsid w:val="00AB2FAE"/>
    <w:rsid w:val="00AB6C81"/>
    <w:rsid w:val="00AD3FCA"/>
    <w:rsid w:val="00AF1D74"/>
    <w:rsid w:val="00AF5BAF"/>
    <w:rsid w:val="00B0002C"/>
    <w:rsid w:val="00B04FEA"/>
    <w:rsid w:val="00B14B1F"/>
    <w:rsid w:val="00B27626"/>
    <w:rsid w:val="00B47034"/>
    <w:rsid w:val="00B556A7"/>
    <w:rsid w:val="00B71DF5"/>
    <w:rsid w:val="00B84210"/>
    <w:rsid w:val="00BF63D2"/>
    <w:rsid w:val="00C17B67"/>
    <w:rsid w:val="00CD7CB6"/>
    <w:rsid w:val="00CE41B8"/>
    <w:rsid w:val="00CF0AE1"/>
    <w:rsid w:val="00D05366"/>
    <w:rsid w:val="00D11C77"/>
    <w:rsid w:val="00D44D0C"/>
    <w:rsid w:val="00D83639"/>
    <w:rsid w:val="00D86BC6"/>
    <w:rsid w:val="00E0098F"/>
    <w:rsid w:val="00E14DD4"/>
    <w:rsid w:val="00E221CA"/>
    <w:rsid w:val="00E36E53"/>
    <w:rsid w:val="00E42496"/>
    <w:rsid w:val="00E44DC2"/>
    <w:rsid w:val="00E456E9"/>
    <w:rsid w:val="00E866BE"/>
    <w:rsid w:val="00E95E3B"/>
    <w:rsid w:val="00EE0F3D"/>
    <w:rsid w:val="00EE2A18"/>
    <w:rsid w:val="00EF1090"/>
    <w:rsid w:val="00F00591"/>
    <w:rsid w:val="00F01168"/>
    <w:rsid w:val="00F07BEF"/>
    <w:rsid w:val="00F248F5"/>
    <w:rsid w:val="00F270BC"/>
    <w:rsid w:val="00F46617"/>
    <w:rsid w:val="00F57B62"/>
    <w:rsid w:val="00F832D9"/>
    <w:rsid w:val="00FA7CD1"/>
    <w:rsid w:val="00FC6F24"/>
    <w:rsid w:val="00FC76D4"/>
    <w:rsid w:val="00FD09EC"/>
    <w:rsid w:val="00FD36D1"/>
    <w:rsid w:val="00FD49D8"/>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C5F3"/>
  <w15:docId w15:val="{487C985E-19DB-4576-8C12-ECD7842A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research/participants/portal/desktop/en/opportunities/h2020/topics/4091-ee-13-201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FIGUEROA, Ana</dc:creator>
  <cp:lastModifiedBy>Becario NAVARRA (ELEXPE BASTIDA,Oscar</cp:lastModifiedBy>
  <cp:revision>58</cp:revision>
  <dcterms:created xsi:type="dcterms:W3CDTF">2016-01-29T14:13:00Z</dcterms:created>
  <dcterms:modified xsi:type="dcterms:W3CDTF">2016-06-20T11:28:00Z</dcterms:modified>
</cp:coreProperties>
</file>