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57B62" w:rsidRPr="00F57B62" w:rsidTr="00873206">
        <w:tc>
          <w:tcPr>
            <w:tcW w:w="10173" w:type="dxa"/>
          </w:tcPr>
          <w:p w:rsidR="00F57B62" w:rsidRPr="00E14DD4" w:rsidRDefault="00B41A1D" w:rsidP="008219DA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Calibri" w:eastAsia="Calibri" w:hAnsi="Calibri" w:cs="Times New Roman"/>
                <w:b/>
                <w:bCs/>
                <w:color w:val="4472C4"/>
                <w:sz w:val="36"/>
                <w:szCs w:val="36"/>
              </w:rPr>
            </w:pPr>
            <w:bookmarkStart w:id="0" w:name="_GoBack"/>
            <w:r>
              <w:rPr>
                <w:rFonts w:ascii="Calibri" w:eastAsia="Calibri" w:hAnsi="Calibri" w:cs="Times New Roman"/>
                <w:b/>
                <w:color w:val="4472C4"/>
                <w:sz w:val="36"/>
                <w:szCs w:val="36"/>
              </w:rPr>
              <w:t>La participación y activación de las autoridades públicas</w:t>
            </w:r>
            <w:bookmarkEnd w:id="0"/>
            <w:r w:rsidR="00F57B62" w:rsidRPr="00F57B62">
              <w:rPr>
                <w:rFonts w:ascii="Calibri" w:eastAsia="Calibri" w:hAnsi="Calibri" w:cs="Times New Roman"/>
                <w:b/>
                <w:color w:val="4472C4"/>
                <w:sz w:val="36"/>
                <w:szCs w:val="36"/>
              </w:rPr>
              <w:t>- FICHA TÉCNICA</w:t>
            </w:r>
          </w:p>
        </w:tc>
      </w:tr>
    </w:tbl>
    <w:p w:rsidR="00F57B62" w:rsidRPr="00F57B62" w:rsidRDefault="00F57B62" w:rsidP="00F57B62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Cuadrculamedia1-nfasis11"/>
        <w:tblW w:w="10173" w:type="dxa"/>
        <w:tblLook w:val="04A0" w:firstRow="1" w:lastRow="0" w:firstColumn="1" w:lastColumn="0" w:noHBand="0" w:noVBand="1"/>
      </w:tblPr>
      <w:tblGrid>
        <w:gridCol w:w="1809"/>
        <w:gridCol w:w="8364"/>
      </w:tblGrid>
      <w:tr w:rsidR="00F57B62" w:rsidRPr="00F57B62" w:rsidTr="00873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57B62" w:rsidRPr="00F57B62" w:rsidRDefault="00F57B62" w:rsidP="00F57B62">
            <w:pPr>
              <w:rPr>
                <w:rFonts w:ascii="Calibri" w:eastAsia="Calibri" w:hAnsi="Calibri" w:cs="Times New Roman"/>
              </w:rPr>
            </w:pPr>
            <w:r w:rsidRPr="00F57B62">
              <w:rPr>
                <w:rFonts w:ascii="Calibri" w:eastAsia="Calibri" w:hAnsi="Calibri" w:cs="Times New Roman"/>
              </w:rPr>
              <w:t xml:space="preserve">Objeto de la </w:t>
            </w:r>
            <w:r>
              <w:rPr>
                <w:rFonts w:ascii="Calibri" w:eastAsia="Calibri" w:hAnsi="Calibri" w:cs="Times New Roman"/>
              </w:rPr>
              <w:t>s</w:t>
            </w:r>
            <w:r w:rsidRPr="00F57B62">
              <w:rPr>
                <w:rFonts w:ascii="Calibri" w:eastAsia="Calibri" w:hAnsi="Calibri" w:cs="Times New Roman"/>
              </w:rPr>
              <w:t>ubvención</w:t>
            </w:r>
          </w:p>
        </w:tc>
        <w:tc>
          <w:tcPr>
            <w:tcW w:w="8364" w:type="dxa"/>
          </w:tcPr>
          <w:p w:rsidR="00B41A1D" w:rsidRPr="00B41A1D" w:rsidRDefault="00B41A1D" w:rsidP="00B41A1D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</w:rPr>
            </w:pPr>
            <w:r w:rsidRPr="00B41A1D">
              <w:rPr>
                <w:rFonts w:eastAsia="Calibri" w:cs="Times New Roman"/>
                <w:b w:val="0"/>
              </w:rPr>
              <w:t>Debido a su poder adquisitivo y el papel fundamental dentro de la comunidad, el sector público es un factor importante en el apoyo a la transformación del mercado hacia más eficientes sistemas de energía, edificios, productos, servicios y sobre todo para fomentar un comportamiento público en general para aumentar la adopción de soluc</w:t>
            </w:r>
            <w:r w:rsidR="00477AF0">
              <w:rPr>
                <w:rFonts w:eastAsia="Calibri" w:cs="Times New Roman"/>
                <w:b w:val="0"/>
              </w:rPr>
              <w:t>iones de eficiencia energética.</w:t>
            </w:r>
          </w:p>
          <w:p w:rsidR="00F57B62" w:rsidRPr="00385E62" w:rsidRDefault="00B41A1D" w:rsidP="00B41A1D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</w:rPr>
            </w:pPr>
            <w:r w:rsidRPr="00B41A1D">
              <w:rPr>
                <w:rFonts w:eastAsia="Calibri" w:cs="Times New Roman"/>
                <w:b w:val="0"/>
              </w:rPr>
              <w:t>Uno de los principales desafíos que permanece en la vinculación organismos públicos a nivel nacional, regional y local a través de un gobierno efectivo de varios niveles para realizar una transición energética impulsada desde el nivel local con la planificación y ejecución de proyectos de energía, concertada, así como en la consecución de una transformación coherente del sistema de energía aprovechando las sinergias y economías de escala.</w:t>
            </w:r>
          </w:p>
        </w:tc>
      </w:tr>
      <w:tr w:rsidR="00F57B62" w:rsidRPr="00F57B62" w:rsidTr="00873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57B62" w:rsidRPr="00F57B62" w:rsidRDefault="00F57B62" w:rsidP="00F57B62">
            <w:pPr>
              <w:rPr>
                <w:rFonts w:ascii="Calibri" w:eastAsia="Calibri" w:hAnsi="Calibri" w:cs="Times New Roman"/>
              </w:rPr>
            </w:pPr>
            <w:r w:rsidRPr="00F57B62">
              <w:rPr>
                <w:rFonts w:ascii="Calibri" w:eastAsia="Calibri" w:hAnsi="Calibri" w:cs="Times New Roman"/>
              </w:rPr>
              <w:t>Plazos</w:t>
            </w:r>
          </w:p>
        </w:tc>
        <w:tc>
          <w:tcPr>
            <w:tcW w:w="8364" w:type="dxa"/>
          </w:tcPr>
          <w:p w:rsidR="00F57B62" w:rsidRPr="00F57B62" w:rsidRDefault="001623F6" w:rsidP="001A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Plazo de apertura: </w:t>
            </w:r>
            <w:r w:rsidR="001A7AA5">
              <w:rPr>
                <w:rFonts w:ascii="Calibri" w:eastAsia="Calibri" w:hAnsi="Calibri" w:cs="Times New Roman"/>
              </w:rPr>
              <w:t>15</w:t>
            </w:r>
            <w:r>
              <w:rPr>
                <w:rFonts w:ascii="Calibri" w:eastAsia="Calibri" w:hAnsi="Calibri" w:cs="Times New Roman"/>
              </w:rPr>
              <w:t xml:space="preserve"> de </w:t>
            </w:r>
            <w:r w:rsidR="001A7AA5">
              <w:rPr>
                <w:rFonts w:ascii="Calibri" w:eastAsia="Calibri" w:hAnsi="Calibri" w:cs="Times New Roman"/>
              </w:rPr>
              <w:t>Marzo</w:t>
            </w:r>
            <w:r>
              <w:rPr>
                <w:rFonts w:ascii="Calibri" w:eastAsia="Calibri" w:hAnsi="Calibri" w:cs="Times New Roman"/>
              </w:rPr>
              <w:t xml:space="preserve"> de 2016  - </w:t>
            </w:r>
            <w:r w:rsidR="004148F8">
              <w:rPr>
                <w:rFonts w:ascii="Calibri" w:eastAsia="Calibri" w:hAnsi="Calibri" w:cs="Times New Roman"/>
              </w:rPr>
              <w:t xml:space="preserve">Plazo de cierre: </w:t>
            </w:r>
            <w:r w:rsidR="001A7AA5">
              <w:rPr>
                <w:rFonts w:ascii="Calibri" w:eastAsia="Calibri" w:hAnsi="Calibri" w:cs="Times New Roman"/>
              </w:rPr>
              <w:t>15</w:t>
            </w:r>
            <w:r w:rsidR="004148F8">
              <w:rPr>
                <w:rFonts w:ascii="Calibri" w:eastAsia="Calibri" w:hAnsi="Calibri" w:cs="Times New Roman"/>
              </w:rPr>
              <w:t xml:space="preserve"> de </w:t>
            </w:r>
            <w:r w:rsidR="001A7AA5">
              <w:rPr>
                <w:rFonts w:ascii="Calibri" w:eastAsia="Calibri" w:hAnsi="Calibri" w:cs="Times New Roman"/>
              </w:rPr>
              <w:t>Septiembre de 2016</w:t>
            </w:r>
            <w:r w:rsidR="004148F8">
              <w:rPr>
                <w:rFonts w:ascii="Calibri" w:eastAsia="Calibri" w:hAnsi="Calibri" w:cs="Times New Roman"/>
              </w:rPr>
              <w:t>.</w:t>
            </w:r>
          </w:p>
        </w:tc>
      </w:tr>
      <w:tr w:rsidR="00F57B62" w:rsidRPr="00F57B62" w:rsidTr="00873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57B62" w:rsidRPr="00F57B62" w:rsidRDefault="005E10AE" w:rsidP="00F57B6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Presupuesto</w:t>
            </w:r>
          </w:p>
        </w:tc>
        <w:tc>
          <w:tcPr>
            <w:tcW w:w="8364" w:type="dxa"/>
          </w:tcPr>
          <w:p w:rsidR="00EE2A18" w:rsidRPr="00B556A7" w:rsidRDefault="005E10AE" w:rsidP="00B41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t xml:space="preserve">Una bolsa de </w:t>
            </w:r>
            <w:r w:rsidR="00B41A1D">
              <w:rPr>
                <w:b/>
              </w:rPr>
              <w:t>6</w:t>
            </w:r>
            <w:r w:rsidRPr="005E10AE">
              <w:rPr>
                <w:b/>
              </w:rPr>
              <w:t>.000.000 €</w:t>
            </w:r>
          </w:p>
        </w:tc>
      </w:tr>
      <w:tr w:rsidR="00F57B62" w:rsidRPr="00F57B62" w:rsidTr="00873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57B62" w:rsidRPr="00F57B62" w:rsidRDefault="00F57B62" w:rsidP="00F57B62">
            <w:pPr>
              <w:rPr>
                <w:rFonts w:ascii="Calibri" w:eastAsia="Calibri" w:hAnsi="Calibri" w:cs="Times New Roman"/>
              </w:rPr>
            </w:pPr>
            <w:r w:rsidRPr="00F57B62">
              <w:rPr>
                <w:rFonts w:ascii="Calibri" w:eastAsia="Calibri" w:hAnsi="Calibri" w:cs="Times New Roman"/>
              </w:rPr>
              <w:t>Observaciones</w:t>
            </w:r>
          </w:p>
        </w:tc>
        <w:tc>
          <w:tcPr>
            <w:tcW w:w="8364" w:type="dxa"/>
          </w:tcPr>
          <w:p w:rsidR="00B41A1D" w:rsidRPr="00B41A1D" w:rsidRDefault="00477AF0" w:rsidP="00B4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</w:rPr>
              <w:t>- A</w:t>
            </w:r>
            <w:proofErr w:type="spellStart"/>
            <w:r w:rsidRPr="00B41A1D">
              <w:rPr>
                <w:rFonts w:ascii="Calibri" w:eastAsia="Calibri" w:hAnsi="Calibri" w:cs="Times New Roman"/>
                <w:lang w:val="es-ES"/>
              </w:rPr>
              <w:t>umento</w:t>
            </w:r>
            <w:proofErr w:type="spellEnd"/>
            <w:r w:rsidR="00B41A1D" w:rsidRPr="00B41A1D">
              <w:rPr>
                <w:rFonts w:ascii="Calibri" w:eastAsia="Calibri" w:hAnsi="Calibri" w:cs="Times New Roman"/>
                <w:lang w:val="es-ES"/>
              </w:rPr>
              <w:t xml:space="preserve"> de la capacidad de los Estados miembros a cumplir con sus obligaciones bajo la Directiva sobre eficiencia energética, rendimiento energético de los edificios, de diseño ecológico y etiquetado directivas</w:t>
            </w:r>
            <w:r>
              <w:rPr>
                <w:rFonts w:ascii="Calibri" w:eastAsia="Calibri" w:hAnsi="Calibri" w:cs="Times New Roman"/>
                <w:lang w:val="es-ES"/>
              </w:rPr>
              <w:t>.</w:t>
            </w:r>
          </w:p>
          <w:p w:rsidR="00B41A1D" w:rsidRPr="00B41A1D" w:rsidRDefault="00521890" w:rsidP="00B4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-F</w:t>
            </w:r>
            <w:r w:rsidR="00B41A1D" w:rsidRPr="00B41A1D">
              <w:rPr>
                <w:rFonts w:ascii="Calibri" w:eastAsia="Calibri" w:hAnsi="Calibri" w:cs="Times New Roman"/>
                <w:lang w:val="es-ES"/>
              </w:rPr>
              <w:t>ormas innovadoras que permitan la participación del público en la transición energética, el desarrollo de capacidades de interfaz dentro de las autoridades públicas a comprometerse con la sociedad civil</w:t>
            </w:r>
            <w:r>
              <w:rPr>
                <w:rFonts w:ascii="Calibri" w:eastAsia="Calibri" w:hAnsi="Calibri" w:cs="Times New Roman"/>
                <w:lang w:val="es-ES"/>
              </w:rPr>
              <w:t>.</w:t>
            </w:r>
          </w:p>
          <w:p w:rsidR="00B41A1D" w:rsidRPr="00B41A1D" w:rsidRDefault="00521890" w:rsidP="00B4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-</w:t>
            </w:r>
            <w:r w:rsidR="00B41A1D" w:rsidRPr="00B41A1D">
              <w:rPr>
                <w:rFonts w:ascii="Calibri" w:eastAsia="Calibri" w:hAnsi="Calibri" w:cs="Times New Roman"/>
                <w:lang w:val="es-ES"/>
              </w:rPr>
              <w:t>Apoyo a las autoridades públicas para fomentar integrada de energía, la movilidad del transporte y la planificación del uso del suelo a nivel local</w:t>
            </w:r>
            <w:r>
              <w:rPr>
                <w:rFonts w:ascii="Calibri" w:eastAsia="Calibri" w:hAnsi="Calibri" w:cs="Times New Roman"/>
                <w:lang w:val="es-ES"/>
              </w:rPr>
              <w:t>.</w:t>
            </w:r>
          </w:p>
          <w:p w:rsidR="00B41A1D" w:rsidRPr="00B41A1D" w:rsidRDefault="00521890" w:rsidP="00B4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-</w:t>
            </w:r>
            <w:r w:rsidR="00B41A1D" w:rsidRPr="00B41A1D">
              <w:rPr>
                <w:rFonts w:ascii="Calibri" w:eastAsia="Calibri" w:hAnsi="Calibri" w:cs="Times New Roman"/>
                <w:lang w:val="es-ES"/>
              </w:rPr>
              <w:t>Apoyo a las autoridades públicas para fomentar la gobernanza multinivel, que une a los niveles locales, regionales y nacionales para la entrega de la planificación energética sostenible integrada y proyectos para lograr sinergias y economías de escala</w:t>
            </w:r>
            <w:r>
              <w:rPr>
                <w:rFonts w:ascii="Calibri" w:eastAsia="Calibri" w:hAnsi="Calibri" w:cs="Times New Roman"/>
                <w:lang w:val="es-ES"/>
              </w:rPr>
              <w:t>.</w:t>
            </w:r>
          </w:p>
          <w:p w:rsidR="00B41A1D" w:rsidRPr="00B41A1D" w:rsidRDefault="00521890" w:rsidP="00B4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-</w:t>
            </w:r>
            <w:r w:rsidR="00B41A1D" w:rsidRPr="00B41A1D">
              <w:rPr>
                <w:rFonts w:ascii="Calibri" w:eastAsia="Calibri" w:hAnsi="Calibri" w:cs="Times New Roman"/>
                <w:lang w:val="es-ES"/>
              </w:rPr>
              <w:t>Mejorar y crear estructuras apropiadas para los sistemas de gestión de calidad y certificación de rodadura de salida para la eficiencia energética de energía / renovables dirigidos en los municipios, así como el apoyo a la colaboración entre los operadores del esquema para atraer a un mayor número de municipios.</w:t>
            </w:r>
          </w:p>
          <w:p w:rsidR="00F01168" w:rsidRPr="00E456E9" w:rsidRDefault="00521890" w:rsidP="00B4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-D</w:t>
            </w:r>
            <w:r w:rsidR="00B41A1D" w:rsidRPr="00B41A1D">
              <w:rPr>
                <w:rFonts w:ascii="Calibri" w:eastAsia="Calibri" w:hAnsi="Calibri" w:cs="Times New Roman"/>
                <w:lang w:val="es-ES"/>
              </w:rPr>
              <w:t>esarrollo de estrategias de financiación para las tecnologías de capital intensivo para calefacción y refrigeración (por ejemplo, las bombas de calor).</w:t>
            </w:r>
          </w:p>
        </w:tc>
      </w:tr>
    </w:tbl>
    <w:p w:rsidR="00F57B62" w:rsidRPr="00F57B62" w:rsidRDefault="00F57B62" w:rsidP="00F57B62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F57B62" w:rsidRPr="00F57B62" w:rsidRDefault="00F57B62" w:rsidP="00F57B62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F57B62">
        <w:rPr>
          <w:rFonts w:ascii="Calibri" w:eastAsia="Calibri" w:hAnsi="Calibri" w:cs="Times New Roman"/>
          <w:b/>
          <w:sz w:val="24"/>
          <w:szCs w:val="24"/>
        </w:rPr>
        <w:t xml:space="preserve">Ver </w:t>
      </w:r>
      <w:proofErr w:type="spellStart"/>
      <w:r w:rsidRPr="00F57B62">
        <w:rPr>
          <w:rFonts w:ascii="Calibri" w:eastAsia="Calibri" w:hAnsi="Calibri" w:cs="Times New Roman"/>
          <w:b/>
          <w:sz w:val="24"/>
          <w:szCs w:val="24"/>
        </w:rPr>
        <w:t>info</w:t>
      </w:r>
      <w:proofErr w:type="spellEnd"/>
      <w:r w:rsidRPr="00F57B62">
        <w:rPr>
          <w:rFonts w:ascii="Calibri" w:eastAsia="Calibri" w:hAnsi="Calibri" w:cs="Times New Roman"/>
          <w:b/>
          <w:sz w:val="24"/>
          <w:szCs w:val="24"/>
        </w:rPr>
        <w:t xml:space="preserve"> completa en:</w:t>
      </w:r>
    </w:p>
    <w:p w:rsidR="00521890" w:rsidRPr="00274CCD" w:rsidRDefault="00521890" w:rsidP="006C77FF">
      <w:pPr>
        <w:pBdr>
          <w:top w:val="single" w:sz="6" w:space="0" w:color="auto"/>
          <w:bottom w:val="single" w:sz="6" w:space="1" w:color="auto"/>
        </w:pBdr>
        <w:tabs>
          <w:tab w:val="left" w:pos="1039"/>
        </w:tabs>
        <w:spacing w:after="0" w:line="240" w:lineRule="auto"/>
        <w:rPr>
          <w:lang w:val="es-ES_tradnl"/>
        </w:rPr>
      </w:pPr>
      <w:hyperlink r:id="rId7" w:history="1">
        <w:r w:rsidRPr="0097017A">
          <w:rPr>
            <w:rStyle w:val="Hipervnculo"/>
            <w:lang w:val="es-ES_tradnl"/>
          </w:rPr>
          <w:t>https://ec.europa.eu/research/participants/portal/desktop/en/opportunities/h2020/topics/4098-ee-09-2016-2017.html</w:t>
        </w:r>
      </w:hyperlink>
    </w:p>
    <w:sectPr w:rsidR="00521890" w:rsidRPr="00274CCD" w:rsidSect="00B500A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7EF" w:rsidRDefault="000807EF">
      <w:pPr>
        <w:spacing w:after="0" w:line="240" w:lineRule="auto"/>
      </w:pPr>
      <w:r>
        <w:separator/>
      </w:r>
    </w:p>
  </w:endnote>
  <w:endnote w:type="continuationSeparator" w:id="0">
    <w:p w:rsidR="000807EF" w:rsidRDefault="0008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0" w:type="auto"/>
      <w:tblInd w:w="7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1"/>
      <w:gridCol w:w="3021"/>
      <w:gridCol w:w="3137"/>
    </w:tblGrid>
    <w:tr w:rsidR="004E04AE" w:rsidRPr="00E221CA" w:rsidTr="001225C5">
      <w:tc>
        <w:tcPr>
          <w:tcW w:w="2881" w:type="dxa"/>
          <w:vAlign w:val="bottom"/>
        </w:tcPr>
        <w:p w:rsidR="004E04AE" w:rsidRPr="00F57B62" w:rsidRDefault="00992275" w:rsidP="0072023A">
          <w:pPr>
            <w:pStyle w:val="Piedepgina1"/>
            <w:rPr>
              <w:rFonts w:ascii="Arial" w:hAnsi="Arial" w:cs="Arial"/>
              <w:b/>
              <w:i/>
              <w:sz w:val="18"/>
              <w:szCs w:val="18"/>
              <w:lang w:val="it-IT"/>
            </w:rPr>
          </w:pPr>
          <w:r w:rsidRPr="00F57B62">
            <w:rPr>
              <w:rFonts w:ascii="Arial" w:hAnsi="Arial" w:cs="Arial"/>
              <w:b/>
              <w:i/>
              <w:sz w:val="18"/>
              <w:szCs w:val="18"/>
              <w:lang w:val="it-IT"/>
            </w:rPr>
            <w:t>Bruselako Delegazioa</w:t>
          </w:r>
        </w:p>
        <w:p w:rsidR="004E04AE" w:rsidRPr="00F57B62" w:rsidRDefault="00992275" w:rsidP="0072023A">
          <w:pPr>
            <w:pStyle w:val="Piedepgina1"/>
            <w:rPr>
              <w:rFonts w:ascii="Arial" w:hAnsi="Arial" w:cs="Arial"/>
              <w:b/>
              <w:i/>
              <w:sz w:val="18"/>
              <w:szCs w:val="18"/>
              <w:lang w:val="it-IT"/>
            </w:rPr>
          </w:pPr>
          <w:r w:rsidRPr="00F57B62">
            <w:rPr>
              <w:rFonts w:ascii="Arial" w:hAnsi="Arial" w:cs="Arial"/>
              <w:b/>
              <w:i/>
              <w:sz w:val="18"/>
              <w:szCs w:val="18"/>
              <w:lang w:val="it-IT"/>
            </w:rPr>
            <w:t>Delegation in Brussels</w:t>
          </w:r>
        </w:p>
      </w:tc>
      <w:tc>
        <w:tcPr>
          <w:tcW w:w="3021" w:type="dxa"/>
        </w:tcPr>
        <w:p w:rsidR="004E04AE" w:rsidRPr="002802E5" w:rsidRDefault="00992275" w:rsidP="0072023A">
          <w:pPr>
            <w:pStyle w:val="Piedepgina1"/>
            <w:rPr>
              <w:b/>
              <w:i/>
              <w:sz w:val="18"/>
              <w:szCs w:val="18"/>
            </w:rPr>
          </w:pPr>
          <w:r w:rsidRPr="002802E5">
            <w:rPr>
              <w:b/>
              <w:i/>
              <w:noProof/>
              <w:sz w:val="18"/>
              <w:szCs w:val="18"/>
              <w:lang w:eastAsia="es-ES"/>
            </w:rPr>
            <w:drawing>
              <wp:inline distT="0" distB="0" distL="0" distR="0" wp14:anchorId="42A3C5D2" wp14:editId="1FE8DFC2">
                <wp:extent cx="1781175" cy="489328"/>
                <wp:effectExtent l="0" t="0" r="0" b="635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4893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7" w:type="dxa"/>
          <w:vAlign w:val="bottom"/>
        </w:tcPr>
        <w:p w:rsidR="004E04AE" w:rsidRPr="001225C5" w:rsidRDefault="00992275" w:rsidP="0072023A">
          <w:pPr>
            <w:pStyle w:val="Piedepgina1"/>
            <w:ind w:left="708"/>
            <w:rPr>
              <w:rFonts w:ascii="Arial" w:hAnsi="Arial" w:cs="Arial"/>
              <w:b/>
              <w:i/>
              <w:sz w:val="18"/>
              <w:szCs w:val="18"/>
              <w:lang w:val="fr-BE"/>
            </w:rPr>
          </w:pPr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Délégation à Bruxelles</w:t>
          </w:r>
        </w:p>
        <w:p w:rsidR="004E04AE" w:rsidRPr="001225C5" w:rsidRDefault="00992275" w:rsidP="001225C5">
          <w:pPr>
            <w:pStyle w:val="Piedepgina1"/>
            <w:ind w:left="708"/>
            <w:rPr>
              <w:rFonts w:ascii="Arial" w:hAnsi="Arial" w:cs="Arial"/>
              <w:b/>
              <w:i/>
              <w:sz w:val="18"/>
              <w:szCs w:val="18"/>
              <w:lang w:val="fr-BE"/>
            </w:rPr>
          </w:pPr>
          <w:proofErr w:type="spellStart"/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Delegación</w:t>
          </w:r>
          <w:proofErr w:type="spellEnd"/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 xml:space="preserve"> en </w:t>
          </w:r>
          <w:r>
            <w:rPr>
              <w:rFonts w:ascii="Arial" w:hAnsi="Arial" w:cs="Arial"/>
              <w:b/>
              <w:i/>
              <w:sz w:val="18"/>
              <w:szCs w:val="18"/>
              <w:lang w:val="fr-BE"/>
            </w:rPr>
            <w:t>B</w:t>
          </w:r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ruselas</w:t>
          </w:r>
        </w:p>
      </w:tc>
    </w:tr>
  </w:tbl>
  <w:p w:rsidR="004E04AE" w:rsidRPr="004E04AE" w:rsidRDefault="000807EF">
    <w:pPr>
      <w:pStyle w:val="Piedepgina1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7EF" w:rsidRDefault="000807EF">
      <w:pPr>
        <w:spacing w:after="0" w:line="240" w:lineRule="auto"/>
      </w:pPr>
      <w:r>
        <w:separator/>
      </w:r>
    </w:p>
  </w:footnote>
  <w:footnote w:type="continuationSeparator" w:id="0">
    <w:p w:rsidR="000807EF" w:rsidRDefault="0008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322"/>
    </w:tblGrid>
    <w:tr w:rsidR="004E04AE" w:rsidTr="0072023A">
      <w:tc>
        <w:tcPr>
          <w:tcW w:w="4322" w:type="dxa"/>
          <w:vAlign w:val="center"/>
        </w:tcPr>
        <w:p w:rsidR="004E04AE" w:rsidRPr="004E20C4" w:rsidRDefault="00992275" w:rsidP="0072023A">
          <w:pPr>
            <w:pStyle w:val="Encabezado1"/>
            <w:rPr>
              <w:b/>
              <w:i/>
              <w:sz w:val="16"/>
              <w:szCs w:val="16"/>
            </w:rPr>
          </w:pPr>
          <w:r w:rsidRPr="004E20C4">
            <w:rPr>
              <w:b/>
              <w:i/>
              <w:sz w:val="16"/>
              <w:szCs w:val="16"/>
            </w:rPr>
            <w:t xml:space="preserve">Ficha resumen – </w:t>
          </w:r>
          <w:proofErr w:type="spellStart"/>
          <w:r w:rsidRPr="004E20C4">
            <w:rPr>
              <w:b/>
              <w:i/>
              <w:sz w:val="16"/>
              <w:szCs w:val="16"/>
            </w:rPr>
            <w:t>laburpena</w:t>
          </w:r>
          <w:proofErr w:type="spellEnd"/>
        </w:p>
      </w:tc>
      <w:tc>
        <w:tcPr>
          <w:tcW w:w="4322" w:type="dxa"/>
        </w:tcPr>
        <w:p w:rsidR="004E04AE" w:rsidRDefault="000807EF" w:rsidP="0072023A">
          <w:pPr>
            <w:pStyle w:val="Encabezado1"/>
            <w:ind w:left="2832"/>
          </w:pPr>
        </w:p>
      </w:tc>
    </w:tr>
  </w:tbl>
  <w:p w:rsidR="004E04AE" w:rsidRDefault="00992275" w:rsidP="001225C5">
    <w:pPr>
      <w:pStyle w:val="Encabezado1"/>
      <w:jc w:val="right"/>
    </w:pPr>
    <w:r>
      <w:rPr>
        <w:noProof/>
        <w:lang w:eastAsia="es-ES"/>
      </w:rPr>
      <w:drawing>
        <wp:inline distT="0" distB="0" distL="0" distR="0" wp14:anchorId="3DF0BAC7" wp14:editId="573A29C0">
          <wp:extent cx="942975" cy="352425"/>
          <wp:effectExtent l="0" t="0" r="9525" b="9525"/>
          <wp:docPr id="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9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787"/>
    <w:multiLevelType w:val="hybridMultilevel"/>
    <w:tmpl w:val="4E5482B8"/>
    <w:lvl w:ilvl="0" w:tplc="226E61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D00BB"/>
    <w:multiLevelType w:val="hybridMultilevel"/>
    <w:tmpl w:val="8ED62B5C"/>
    <w:lvl w:ilvl="0" w:tplc="619C22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87273"/>
    <w:multiLevelType w:val="hybridMultilevel"/>
    <w:tmpl w:val="78908AE4"/>
    <w:lvl w:ilvl="0" w:tplc="812AA7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60D7D"/>
    <w:multiLevelType w:val="hybridMultilevel"/>
    <w:tmpl w:val="7CB228DC"/>
    <w:lvl w:ilvl="0" w:tplc="9EBC01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56341"/>
    <w:multiLevelType w:val="hybridMultilevel"/>
    <w:tmpl w:val="022837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04335F"/>
    <w:multiLevelType w:val="multilevel"/>
    <w:tmpl w:val="F0EE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D4920"/>
    <w:multiLevelType w:val="hybridMultilevel"/>
    <w:tmpl w:val="9DAC5C6E"/>
    <w:lvl w:ilvl="0" w:tplc="9A203B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C7457"/>
    <w:multiLevelType w:val="hybridMultilevel"/>
    <w:tmpl w:val="2EB4FA64"/>
    <w:lvl w:ilvl="0" w:tplc="44EEAA5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1000E"/>
    <w:multiLevelType w:val="hybridMultilevel"/>
    <w:tmpl w:val="3230BB06"/>
    <w:lvl w:ilvl="0" w:tplc="F58A62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11B0B"/>
    <w:multiLevelType w:val="multilevel"/>
    <w:tmpl w:val="412C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BD33C1"/>
    <w:multiLevelType w:val="hybridMultilevel"/>
    <w:tmpl w:val="B040010A"/>
    <w:lvl w:ilvl="0" w:tplc="E4646C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24767"/>
    <w:multiLevelType w:val="hybridMultilevel"/>
    <w:tmpl w:val="0DCA5B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742EE7"/>
    <w:multiLevelType w:val="multilevel"/>
    <w:tmpl w:val="214A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A66EFE"/>
    <w:multiLevelType w:val="multilevel"/>
    <w:tmpl w:val="89D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13"/>
  </w:num>
  <w:num w:numId="7">
    <w:abstractNumId w:val="12"/>
  </w:num>
  <w:num w:numId="8">
    <w:abstractNumId w:val="6"/>
  </w:num>
  <w:num w:numId="9">
    <w:abstractNumId w:val="3"/>
  </w:num>
  <w:num w:numId="10">
    <w:abstractNumId w:val="2"/>
  </w:num>
  <w:num w:numId="11">
    <w:abstractNumId w:val="1"/>
  </w:num>
  <w:num w:numId="12">
    <w:abstractNumId w:val="7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62"/>
    <w:rsid w:val="00012B66"/>
    <w:rsid w:val="00022FFA"/>
    <w:rsid w:val="000807EF"/>
    <w:rsid w:val="000979A4"/>
    <w:rsid w:val="000C6186"/>
    <w:rsid w:val="00105170"/>
    <w:rsid w:val="001338C8"/>
    <w:rsid w:val="001623F6"/>
    <w:rsid w:val="00170DEF"/>
    <w:rsid w:val="001A1E46"/>
    <w:rsid w:val="001A7AA5"/>
    <w:rsid w:val="001B7BFA"/>
    <w:rsid w:val="001C4426"/>
    <w:rsid w:val="001D24C6"/>
    <w:rsid w:val="001F4DF5"/>
    <w:rsid w:val="002177CC"/>
    <w:rsid w:val="00221545"/>
    <w:rsid w:val="00234D03"/>
    <w:rsid w:val="00251E4A"/>
    <w:rsid w:val="002608FB"/>
    <w:rsid w:val="00274CCD"/>
    <w:rsid w:val="00275FB4"/>
    <w:rsid w:val="002911B0"/>
    <w:rsid w:val="00296D47"/>
    <w:rsid w:val="002C5A5F"/>
    <w:rsid w:val="002C65B6"/>
    <w:rsid w:val="002E1586"/>
    <w:rsid w:val="002F38A2"/>
    <w:rsid w:val="00312A51"/>
    <w:rsid w:val="00313382"/>
    <w:rsid w:val="003165FB"/>
    <w:rsid w:val="00327F3A"/>
    <w:rsid w:val="003328DC"/>
    <w:rsid w:val="00337D2B"/>
    <w:rsid w:val="00372CCC"/>
    <w:rsid w:val="00385E62"/>
    <w:rsid w:val="003925BF"/>
    <w:rsid w:val="00392E36"/>
    <w:rsid w:val="003B0CB0"/>
    <w:rsid w:val="003E00C7"/>
    <w:rsid w:val="004148F8"/>
    <w:rsid w:val="00477AF0"/>
    <w:rsid w:val="004D1D28"/>
    <w:rsid w:val="00500186"/>
    <w:rsid w:val="00521890"/>
    <w:rsid w:val="00521B0A"/>
    <w:rsid w:val="00587539"/>
    <w:rsid w:val="005A3F0E"/>
    <w:rsid w:val="005A44E2"/>
    <w:rsid w:val="005B2270"/>
    <w:rsid w:val="005C7B34"/>
    <w:rsid w:val="005D5172"/>
    <w:rsid w:val="005E10AE"/>
    <w:rsid w:val="0060112A"/>
    <w:rsid w:val="006157B5"/>
    <w:rsid w:val="00635E94"/>
    <w:rsid w:val="0065131B"/>
    <w:rsid w:val="00655268"/>
    <w:rsid w:val="0068606D"/>
    <w:rsid w:val="006A6A4B"/>
    <w:rsid w:val="006C77FF"/>
    <w:rsid w:val="00731378"/>
    <w:rsid w:val="00771E86"/>
    <w:rsid w:val="00780F98"/>
    <w:rsid w:val="00794CB6"/>
    <w:rsid w:val="007B213D"/>
    <w:rsid w:val="007B384F"/>
    <w:rsid w:val="007D5767"/>
    <w:rsid w:val="007D6208"/>
    <w:rsid w:val="007E251D"/>
    <w:rsid w:val="00807877"/>
    <w:rsid w:val="008219DA"/>
    <w:rsid w:val="00841E05"/>
    <w:rsid w:val="008433AB"/>
    <w:rsid w:val="008521E4"/>
    <w:rsid w:val="008B6830"/>
    <w:rsid w:val="008E72EE"/>
    <w:rsid w:val="00912454"/>
    <w:rsid w:val="00936F80"/>
    <w:rsid w:val="00963880"/>
    <w:rsid w:val="00973358"/>
    <w:rsid w:val="00992275"/>
    <w:rsid w:val="009C21FB"/>
    <w:rsid w:val="00A00CB1"/>
    <w:rsid w:val="00A06D87"/>
    <w:rsid w:val="00A10539"/>
    <w:rsid w:val="00A37670"/>
    <w:rsid w:val="00A40D1E"/>
    <w:rsid w:val="00A6260D"/>
    <w:rsid w:val="00A81D99"/>
    <w:rsid w:val="00A86128"/>
    <w:rsid w:val="00A901B2"/>
    <w:rsid w:val="00AA2C38"/>
    <w:rsid w:val="00AB6C81"/>
    <w:rsid w:val="00AD3FCA"/>
    <w:rsid w:val="00AF1D74"/>
    <w:rsid w:val="00AF5BAF"/>
    <w:rsid w:val="00B0002C"/>
    <w:rsid w:val="00B04FEA"/>
    <w:rsid w:val="00B14B1F"/>
    <w:rsid w:val="00B27626"/>
    <w:rsid w:val="00B41A1D"/>
    <w:rsid w:val="00B47034"/>
    <w:rsid w:val="00B556A7"/>
    <w:rsid w:val="00B71DF5"/>
    <w:rsid w:val="00B84210"/>
    <w:rsid w:val="00BF63D2"/>
    <w:rsid w:val="00C17B67"/>
    <w:rsid w:val="00CD7CB6"/>
    <w:rsid w:val="00CE41B8"/>
    <w:rsid w:val="00CF0AE1"/>
    <w:rsid w:val="00D05366"/>
    <w:rsid w:val="00D11C77"/>
    <w:rsid w:val="00D44D0C"/>
    <w:rsid w:val="00D83639"/>
    <w:rsid w:val="00D86BC6"/>
    <w:rsid w:val="00E0098F"/>
    <w:rsid w:val="00E14DD4"/>
    <w:rsid w:val="00E221CA"/>
    <w:rsid w:val="00E36E53"/>
    <w:rsid w:val="00E42496"/>
    <w:rsid w:val="00E44DC2"/>
    <w:rsid w:val="00E456E9"/>
    <w:rsid w:val="00E866BE"/>
    <w:rsid w:val="00E95E3B"/>
    <w:rsid w:val="00EE0F3D"/>
    <w:rsid w:val="00EE2A18"/>
    <w:rsid w:val="00EF1090"/>
    <w:rsid w:val="00F00591"/>
    <w:rsid w:val="00F01168"/>
    <w:rsid w:val="00F07BEF"/>
    <w:rsid w:val="00F270BC"/>
    <w:rsid w:val="00F46617"/>
    <w:rsid w:val="00F57B62"/>
    <w:rsid w:val="00F832D9"/>
    <w:rsid w:val="00FA7CD1"/>
    <w:rsid w:val="00FC6F24"/>
    <w:rsid w:val="00FC76D4"/>
    <w:rsid w:val="00FD09EC"/>
    <w:rsid w:val="00FD36D1"/>
    <w:rsid w:val="00FE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F0F3"/>
  <w15:docId w15:val="{487C985E-19DB-4576-8C12-ECD7842A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F57B62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F57B62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F57B62"/>
  </w:style>
  <w:style w:type="table" w:customStyle="1" w:styleId="Cuadrculamedia1-nfasis11">
    <w:name w:val="Cuadrícula media 1 - Énfasis 11"/>
    <w:basedOn w:val="Tablanormal"/>
    <w:next w:val="Cuadrculamedia1-nfasis1"/>
    <w:uiPriority w:val="67"/>
    <w:rsid w:val="00F57B62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Tablaconcuadrcula">
    <w:name w:val="Table Grid"/>
    <w:basedOn w:val="Tablanormal"/>
    <w:uiPriority w:val="59"/>
    <w:rsid w:val="00F5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semiHidden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F57B62"/>
  </w:style>
  <w:style w:type="paragraph" w:styleId="Piedepgina">
    <w:name w:val="footer"/>
    <w:basedOn w:val="Normal"/>
    <w:link w:val="PiedepginaCar1"/>
    <w:uiPriority w:val="99"/>
    <w:semiHidden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F57B62"/>
  </w:style>
  <w:style w:type="table" w:styleId="Cuadrculamedia1-nfasis1">
    <w:name w:val="Medium Grid 1 Accent 1"/>
    <w:basedOn w:val="Tablanormal"/>
    <w:uiPriority w:val="67"/>
    <w:rsid w:val="00F57B6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5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B6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72CC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D5172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638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.europa.eu/research/participants/portal/desktop/en/opportunities/h2020/topics/4098-ee-09-2016-201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FIGUEROA, Ana</dc:creator>
  <cp:lastModifiedBy>Becario NAVARRA (ELEXPE BASTIDA,Oscar</cp:lastModifiedBy>
  <cp:revision>57</cp:revision>
  <dcterms:created xsi:type="dcterms:W3CDTF">2016-01-29T14:13:00Z</dcterms:created>
  <dcterms:modified xsi:type="dcterms:W3CDTF">2016-06-20T11:05:00Z</dcterms:modified>
</cp:coreProperties>
</file>