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F83918">
        <w:tc>
          <w:tcPr>
            <w:tcW w:w="10173" w:type="dxa"/>
          </w:tcPr>
          <w:p w:rsidR="00F57B62" w:rsidRPr="00E14DD4" w:rsidRDefault="00F83918" w:rsidP="003C4A50">
            <w:pPr>
              <w:pBdr>
                <w:top w:val="single" w:sz="6" w:space="1" w:color="auto"/>
                <w:bottom w:val="single" w:sz="6" w:space="1" w:color="auto"/>
              </w:pBdr>
              <w:jc w:val="center"/>
              <w:rPr>
                <w:rFonts w:ascii="Calibri" w:eastAsia="Calibri" w:hAnsi="Calibri" w:cs="Times New Roman"/>
                <w:b/>
                <w:bCs/>
                <w:color w:val="4472C4"/>
                <w:sz w:val="36"/>
                <w:szCs w:val="36"/>
              </w:rPr>
            </w:pPr>
            <w:r>
              <w:rPr>
                <w:rFonts w:ascii="Calibri" w:eastAsia="Calibri" w:hAnsi="Calibri" w:cs="Times New Roman"/>
                <w:b/>
                <w:color w:val="4472C4"/>
                <w:sz w:val="36"/>
                <w:szCs w:val="36"/>
              </w:rPr>
              <w:t>Haciendo de la eficiencia energética un mercado invertible</w:t>
            </w:r>
            <w:r w:rsidR="00F57B62"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F57B62" w:rsidTr="00F8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 xml:space="preserve">Objeto de la </w:t>
            </w:r>
            <w:r>
              <w:rPr>
                <w:rFonts w:ascii="Calibri" w:eastAsia="Calibri" w:hAnsi="Calibri" w:cs="Times New Roman"/>
              </w:rPr>
              <w:t>s</w:t>
            </w:r>
            <w:r w:rsidRPr="00F57B62">
              <w:rPr>
                <w:rFonts w:ascii="Calibri" w:eastAsia="Calibri" w:hAnsi="Calibri" w:cs="Times New Roman"/>
              </w:rPr>
              <w:t>ubvención</w:t>
            </w:r>
          </w:p>
        </w:tc>
        <w:tc>
          <w:tcPr>
            <w:tcW w:w="8364" w:type="dxa"/>
          </w:tcPr>
          <w:p w:rsidR="00F57B62" w:rsidRPr="00385E62" w:rsidRDefault="00434A22" w:rsidP="00FD49D8">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Pr>
                <w:rFonts w:eastAsia="Calibri" w:cs="Times New Roman"/>
                <w:b w:val="0"/>
              </w:rPr>
              <w:t>L</w:t>
            </w:r>
            <w:r w:rsidR="00F83918" w:rsidRPr="00F83918">
              <w:rPr>
                <w:rFonts w:eastAsia="Calibri" w:cs="Times New Roman"/>
                <w:b w:val="0"/>
              </w:rPr>
              <w:t>os niveles sub-óptimos de inversión en energía sostenible (en particular, la eficiencia energética) están vinculados, entre otros, a la falta de confianza de los inversores y los financieros en la viabilidad financiera de las medidas de eficiencia energética. Los bancos, inversores institucionales y gestores de activos carecen de las habilidades y herramientas operativas para evaluar con eficacia las inversiones en energía sostenible e integrar la eficiencia energética en sus estrategias de inversión. El acceso a los mercados de capitales para inversiones en eficiencia energética se ve obstaculizada por la falta de estandarización de los activos.</w:t>
            </w:r>
          </w:p>
        </w:tc>
      </w:tr>
      <w:tr w:rsidR="00F57B62" w:rsidRPr="00F57B62" w:rsidTr="00F8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Plazos</w:t>
            </w:r>
          </w:p>
        </w:tc>
        <w:tc>
          <w:tcPr>
            <w:tcW w:w="8364" w:type="dxa"/>
          </w:tcPr>
          <w:p w:rsidR="00F57B62" w:rsidRPr="00F57B62" w:rsidRDefault="001623F6" w:rsidP="001A7AA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Plazo de apertura: </w:t>
            </w:r>
            <w:r w:rsidR="001A7AA5">
              <w:rPr>
                <w:rFonts w:ascii="Calibri" w:eastAsia="Calibri" w:hAnsi="Calibri" w:cs="Times New Roman"/>
              </w:rPr>
              <w:t>15</w:t>
            </w:r>
            <w:r>
              <w:rPr>
                <w:rFonts w:ascii="Calibri" w:eastAsia="Calibri" w:hAnsi="Calibri" w:cs="Times New Roman"/>
              </w:rPr>
              <w:t xml:space="preserve"> de </w:t>
            </w:r>
            <w:r w:rsidR="001A7AA5">
              <w:rPr>
                <w:rFonts w:ascii="Calibri" w:eastAsia="Calibri" w:hAnsi="Calibri" w:cs="Times New Roman"/>
              </w:rPr>
              <w:t>Marzo</w:t>
            </w:r>
            <w:r>
              <w:rPr>
                <w:rFonts w:ascii="Calibri" w:eastAsia="Calibri" w:hAnsi="Calibri" w:cs="Times New Roman"/>
              </w:rPr>
              <w:t xml:space="preserve"> de 2016  - </w:t>
            </w:r>
            <w:r w:rsidR="004148F8">
              <w:rPr>
                <w:rFonts w:ascii="Calibri" w:eastAsia="Calibri" w:hAnsi="Calibri" w:cs="Times New Roman"/>
              </w:rPr>
              <w:t xml:space="preserve">Plazo de cierre: </w:t>
            </w:r>
            <w:r w:rsidR="001A7AA5">
              <w:rPr>
                <w:rFonts w:ascii="Calibri" w:eastAsia="Calibri" w:hAnsi="Calibri" w:cs="Times New Roman"/>
              </w:rPr>
              <w:t>15</w:t>
            </w:r>
            <w:r w:rsidR="004148F8">
              <w:rPr>
                <w:rFonts w:ascii="Calibri" w:eastAsia="Calibri" w:hAnsi="Calibri" w:cs="Times New Roman"/>
              </w:rPr>
              <w:t xml:space="preserve"> de </w:t>
            </w:r>
            <w:r w:rsidR="001A7AA5">
              <w:rPr>
                <w:rFonts w:ascii="Calibri" w:eastAsia="Calibri" w:hAnsi="Calibri" w:cs="Times New Roman"/>
              </w:rPr>
              <w:t>Septiembre de 2016</w:t>
            </w:r>
            <w:r w:rsidR="004148F8">
              <w:rPr>
                <w:rFonts w:ascii="Calibri" w:eastAsia="Calibri" w:hAnsi="Calibri" w:cs="Times New Roman"/>
              </w:rPr>
              <w:t>.</w:t>
            </w:r>
          </w:p>
        </w:tc>
      </w:tr>
      <w:tr w:rsidR="00F57B62" w:rsidRPr="00F57B62" w:rsidTr="00F83918">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5E10AE" w:rsidP="00F57B62">
            <w:pPr>
              <w:rPr>
                <w:rFonts w:ascii="Calibri" w:eastAsia="Calibri" w:hAnsi="Calibri" w:cs="Times New Roman"/>
              </w:rPr>
            </w:pPr>
            <w:r>
              <w:rPr>
                <w:rFonts w:ascii="Calibri" w:eastAsia="Calibri" w:hAnsi="Calibri" w:cs="Times New Roman"/>
              </w:rPr>
              <w:t>Presupuesto</w:t>
            </w:r>
          </w:p>
        </w:tc>
        <w:tc>
          <w:tcPr>
            <w:tcW w:w="8364" w:type="dxa"/>
          </w:tcPr>
          <w:p w:rsidR="00EE2A18" w:rsidRPr="00B556A7" w:rsidRDefault="005E10AE" w:rsidP="00F8391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t xml:space="preserve">Una bolsa de </w:t>
            </w:r>
            <w:r w:rsidR="00F83918">
              <w:rPr>
                <w:b/>
              </w:rPr>
              <w:t>4</w:t>
            </w:r>
            <w:r w:rsidRPr="005E10AE">
              <w:rPr>
                <w:b/>
              </w:rPr>
              <w:t>.000.000 €</w:t>
            </w:r>
          </w:p>
        </w:tc>
      </w:tr>
      <w:tr w:rsidR="00F57B62" w:rsidRPr="00F57B62" w:rsidTr="00F8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Observaciones</w:t>
            </w:r>
          </w:p>
        </w:tc>
        <w:tc>
          <w:tcPr>
            <w:tcW w:w="8364" w:type="dxa"/>
          </w:tcPr>
          <w:p w:rsidR="00F83918" w:rsidRPr="00F83918" w:rsidRDefault="00434A22" w:rsidP="00F8391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F83918" w:rsidRPr="00F83918">
              <w:rPr>
                <w:rFonts w:ascii="Calibri" w:eastAsia="Calibri" w:hAnsi="Calibri" w:cs="Times New Roman"/>
                <w:lang w:val="es-ES"/>
              </w:rPr>
              <w:t>Desarrollo, demostración y promoción de los marcos para la normalización y la evaluación comparativa de las inversiones en eficiencia energética como sistemas de etiquetado, métodos de calificación de proyectos y herramientas de evaluación de riesgos, estructuras legales y financieros estandarizados de los activos (préstamos, garantías, contratos de rendimiento energético, etc.) con el</w:t>
            </w:r>
            <w:r w:rsidR="00C664FD">
              <w:rPr>
                <w:rFonts w:ascii="Calibri" w:eastAsia="Calibri" w:hAnsi="Calibri" w:cs="Times New Roman"/>
                <w:lang w:val="es-ES"/>
              </w:rPr>
              <w:t xml:space="preserve"> fin de desarrollar modelos de </w:t>
            </w:r>
            <w:r w:rsidR="0002706A">
              <w:rPr>
                <w:rFonts w:ascii="Calibri" w:eastAsia="Calibri" w:hAnsi="Calibri" w:cs="Times New Roman"/>
                <w:lang w:val="es-ES"/>
              </w:rPr>
              <w:t>seguridad</w:t>
            </w:r>
            <w:bookmarkStart w:id="0" w:name="_GoBack"/>
            <w:bookmarkEnd w:id="0"/>
            <w:r w:rsidR="00F83918" w:rsidRPr="00F83918">
              <w:rPr>
                <w:rFonts w:ascii="Calibri" w:eastAsia="Calibri" w:hAnsi="Calibri" w:cs="Times New Roman"/>
                <w:lang w:val="es-ES"/>
              </w:rPr>
              <w:t xml:space="preserve"> y clasificación de productos financieros basados ​​en la eficiencia energética, lo que debería permitir el desarrollo y el acceso a los mercados secundarios. Propuestas integradas en un enfoque más amplio, como la inversión socialmente responsable debe centrarse en el componente energético.</w:t>
            </w:r>
          </w:p>
          <w:p w:rsidR="00F83918" w:rsidRPr="00F83918" w:rsidRDefault="00434A22" w:rsidP="00F8391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F83918" w:rsidRPr="00F83918">
              <w:rPr>
                <w:rFonts w:ascii="Calibri" w:eastAsia="Calibri" w:hAnsi="Calibri" w:cs="Times New Roman"/>
                <w:lang w:val="es-ES"/>
              </w:rPr>
              <w:t>La recopilación, procesamiento y divulgación de datos a gran escala en el desempeño financiero real de las inversiones en eficiencia energética, con el fin de crear un historial de eficiencia energética en diferentes sectores (edificios, la industria, el transporte, etc.). integrar aún más el "valor verde 'de los edificios de valoración de la propiedad mediante la recogida de datos sobre el mercado de la UE y las acciones dirigidas a los actores clave en el proceso de venta o arrendamiento (por ejemplo, agentes de bienes raíces, tasadores de propiedad, notarios, etc.)</w:t>
            </w:r>
          </w:p>
          <w:p w:rsidR="00F01168" w:rsidRPr="00E456E9" w:rsidRDefault="00B255E4" w:rsidP="00F8391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F83918" w:rsidRPr="00F83918">
              <w:rPr>
                <w:rFonts w:ascii="Calibri" w:eastAsia="Calibri" w:hAnsi="Calibri" w:cs="Times New Roman"/>
                <w:lang w:val="es-ES"/>
              </w:rPr>
              <w:t>Orientación de los inversores institucionales (por ejemplo, planes de pensiones públicas) con el fin de aumentar la proporción de sus fondos invertidos en eficiencia energética o el desarrollo de los fondos de inversión o productos específicos. El apoyo a la integración de la eficiencia energética en las estrategias de gestión de cartera para inversores institucionales y / o gestores de fondos, entre ellos a través de re-definición de los deberes fiduciarios.</w:t>
            </w:r>
          </w:p>
        </w:tc>
      </w:tr>
    </w:tbl>
    <w:p w:rsidR="00790741" w:rsidRDefault="00F57B62" w:rsidP="00790741">
      <w:pPr>
        <w:pBdr>
          <w:top w:val="single" w:sz="6" w:space="1" w:color="auto"/>
          <w:bottom w:val="single" w:sz="6" w:space="1" w:color="auto"/>
        </w:pBdr>
        <w:spacing w:after="0" w:line="240" w:lineRule="auto"/>
        <w:rPr>
          <w:rFonts w:ascii="Calibri" w:eastAsia="Calibri" w:hAnsi="Calibri" w:cs="Times New Roman"/>
          <w:b/>
          <w:sz w:val="24"/>
          <w:szCs w:val="24"/>
        </w:rPr>
      </w:pPr>
      <w:r w:rsidRPr="00F57B62">
        <w:rPr>
          <w:rFonts w:ascii="Calibri" w:eastAsia="Calibri" w:hAnsi="Calibri" w:cs="Times New Roman"/>
          <w:b/>
          <w:sz w:val="24"/>
          <w:szCs w:val="24"/>
        </w:rPr>
        <w:t xml:space="preserve">Ver </w:t>
      </w:r>
      <w:proofErr w:type="spellStart"/>
      <w:r w:rsidRPr="00F57B62">
        <w:rPr>
          <w:rFonts w:ascii="Calibri" w:eastAsia="Calibri" w:hAnsi="Calibri" w:cs="Times New Roman"/>
          <w:b/>
          <w:sz w:val="24"/>
          <w:szCs w:val="24"/>
        </w:rPr>
        <w:t>info</w:t>
      </w:r>
      <w:proofErr w:type="spellEnd"/>
      <w:r w:rsidRPr="00F57B62">
        <w:rPr>
          <w:rFonts w:ascii="Calibri" w:eastAsia="Calibri" w:hAnsi="Calibri" w:cs="Times New Roman"/>
          <w:b/>
          <w:sz w:val="24"/>
          <w:szCs w:val="24"/>
        </w:rPr>
        <w:t xml:space="preserve"> completa en:</w:t>
      </w:r>
    </w:p>
    <w:p w:rsidR="00B255E4" w:rsidRPr="00274CCD" w:rsidRDefault="00B255E4" w:rsidP="00790741">
      <w:pPr>
        <w:pBdr>
          <w:top w:val="single" w:sz="6" w:space="1" w:color="auto"/>
          <w:bottom w:val="single" w:sz="6" w:space="1" w:color="auto"/>
        </w:pBdr>
        <w:spacing w:after="0" w:line="240" w:lineRule="auto"/>
        <w:rPr>
          <w:lang w:val="es-ES_tradnl"/>
        </w:rPr>
      </w:pPr>
      <w:hyperlink r:id="rId7" w:history="1">
        <w:r w:rsidRPr="005F01FF">
          <w:rPr>
            <w:rStyle w:val="Hipervnculo"/>
            <w:lang w:val="es-ES_tradnl"/>
          </w:rPr>
          <w:t>https://ec.europa.eu/research/participants/portal/desktop/en/opportunities/h2020/topics/4093-ee-24-2016-2017.html</w:t>
        </w:r>
      </w:hyperlink>
    </w:p>
    <w:sectPr w:rsidR="00B255E4" w:rsidRPr="00274CCD" w:rsidSect="00F83918">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4FD" w:rsidRDefault="00C664FD">
      <w:pPr>
        <w:spacing w:after="0" w:line="240" w:lineRule="auto"/>
      </w:pPr>
      <w:r>
        <w:separator/>
      </w:r>
    </w:p>
  </w:endnote>
  <w:endnote w:type="continuationSeparator" w:id="0">
    <w:p w:rsidR="00C664FD" w:rsidRDefault="00C6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021"/>
      <w:gridCol w:w="3137"/>
    </w:tblGrid>
    <w:tr w:rsidR="00C664FD" w:rsidRPr="00E221CA" w:rsidTr="00F83918">
      <w:tc>
        <w:tcPr>
          <w:tcW w:w="2881" w:type="dxa"/>
          <w:vAlign w:val="bottom"/>
        </w:tcPr>
        <w:p w:rsidR="00C664FD" w:rsidRPr="00F57B62" w:rsidRDefault="00C664FD" w:rsidP="00F83918">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C664FD" w:rsidRPr="00F57B62" w:rsidRDefault="00C664FD" w:rsidP="00F83918">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C664FD" w:rsidRPr="002802E5" w:rsidRDefault="00C664FD" w:rsidP="00F83918">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C664FD" w:rsidRPr="001225C5" w:rsidRDefault="00C664FD" w:rsidP="00F83918">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C664FD" w:rsidRPr="001225C5" w:rsidRDefault="00C664FD" w:rsidP="00F83918">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C664FD" w:rsidRPr="004E04AE" w:rsidRDefault="00C664FD">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4FD" w:rsidRDefault="00C664FD">
      <w:pPr>
        <w:spacing w:after="0" w:line="240" w:lineRule="auto"/>
      </w:pPr>
      <w:r>
        <w:separator/>
      </w:r>
    </w:p>
  </w:footnote>
  <w:footnote w:type="continuationSeparator" w:id="0">
    <w:p w:rsidR="00C664FD" w:rsidRDefault="00C6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C664FD" w:rsidTr="00F83918">
      <w:tc>
        <w:tcPr>
          <w:tcW w:w="4322" w:type="dxa"/>
          <w:vAlign w:val="center"/>
        </w:tcPr>
        <w:p w:rsidR="00C664FD" w:rsidRPr="004E20C4" w:rsidRDefault="00C664FD" w:rsidP="00F83918">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C664FD" w:rsidRDefault="00C664FD" w:rsidP="00F83918">
          <w:pPr>
            <w:pStyle w:val="Encabezado1"/>
            <w:ind w:left="2832"/>
          </w:pPr>
        </w:p>
      </w:tc>
    </w:tr>
  </w:tbl>
  <w:p w:rsidR="00C664FD" w:rsidRDefault="00C664FD" w:rsidP="00F83918">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11000E"/>
    <w:multiLevelType w:val="hybridMultilevel"/>
    <w:tmpl w:val="3230BB06"/>
    <w:lvl w:ilvl="0" w:tplc="F58A62A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33C1"/>
    <w:multiLevelType w:val="hybridMultilevel"/>
    <w:tmpl w:val="B040010A"/>
    <w:lvl w:ilvl="0" w:tplc="E4646C7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3B0C34"/>
    <w:multiLevelType w:val="hybridMultilevel"/>
    <w:tmpl w:val="DEF850C0"/>
    <w:lvl w:ilvl="0" w:tplc="0C0A0005">
      <w:start w:val="1"/>
      <w:numFmt w:val="bullet"/>
      <w:lvlText w:val=""/>
      <w:lvlJc w:val="left"/>
      <w:pPr>
        <w:ind w:left="883" w:hanging="360"/>
      </w:pPr>
      <w:rPr>
        <w:rFonts w:ascii="Wingdings" w:hAnsi="Wingdings"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12"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27ACE"/>
    <w:multiLevelType w:val="hybridMultilevel"/>
    <w:tmpl w:val="3F58A1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5"/>
  </w:num>
  <w:num w:numId="5">
    <w:abstractNumId w:val="9"/>
  </w:num>
  <w:num w:numId="6">
    <w:abstractNumId w:val="14"/>
  </w:num>
  <w:num w:numId="7">
    <w:abstractNumId w:val="13"/>
  </w:num>
  <w:num w:numId="8">
    <w:abstractNumId w:val="6"/>
  </w:num>
  <w:num w:numId="9">
    <w:abstractNumId w:val="3"/>
  </w:num>
  <w:num w:numId="10">
    <w:abstractNumId w:val="2"/>
  </w:num>
  <w:num w:numId="11">
    <w:abstractNumId w:val="1"/>
  </w:num>
  <w:num w:numId="12">
    <w:abstractNumId w:val="7"/>
  </w:num>
  <w:num w:numId="13">
    <w:abstractNumId w:val="10"/>
  </w:num>
  <w:num w:numId="14">
    <w:abstractNumId w:val="8"/>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62"/>
    <w:rsid w:val="00012B66"/>
    <w:rsid w:val="00022FFA"/>
    <w:rsid w:val="0002706A"/>
    <w:rsid w:val="000979A4"/>
    <w:rsid w:val="000C6186"/>
    <w:rsid w:val="00105170"/>
    <w:rsid w:val="001338C8"/>
    <w:rsid w:val="001623F6"/>
    <w:rsid w:val="00170134"/>
    <w:rsid w:val="00170DEF"/>
    <w:rsid w:val="001A1E46"/>
    <w:rsid w:val="001A7AA5"/>
    <w:rsid w:val="001B7BFA"/>
    <w:rsid w:val="001C4426"/>
    <w:rsid w:val="001D24C6"/>
    <w:rsid w:val="001F4DF5"/>
    <w:rsid w:val="002177CC"/>
    <w:rsid w:val="00221545"/>
    <w:rsid w:val="00234D03"/>
    <w:rsid w:val="00251E4A"/>
    <w:rsid w:val="002608FB"/>
    <w:rsid w:val="00274CCD"/>
    <w:rsid w:val="00275FB4"/>
    <w:rsid w:val="002911B0"/>
    <w:rsid w:val="00296D47"/>
    <w:rsid w:val="002C5A5F"/>
    <w:rsid w:val="002C65B6"/>
    <w:rsid w:val="002E1586"/>
    <w:rsid w:val="002F38A2"/>
    <w:rsid w:val="00312A51"/>
    <w:rsid w:val="00313382"/>
    <w:rsid w:val="003165FB"/>
    <w:rsid w:val="00327F3A"/>
    <w:rsid w:val="003328DC"/>
    <w:rsid w:val="00337D2B"/>
    <w:rsid w:val="00372CCC"/>
    <w:rsid w:val="00385E62"/>
    <w:rsid w:val="003925BF"/>
    <w:rsid w:val="00392E36"/>
    <w:rsid w:val="003B0CB0"/>
    <w:rsid w:val="003C4A50"/>
    <w:rsid w:val="003E00C7"/>
    <w:rsid w:val="004148F8"/>
    <w:rsid w:val="00434A22"/>
    <w:rsid w:val="004938DC"/>
    <w:rsid w:val="004D1D28"/>
    <w:rsid w:val="00500186"/>
    <w:rsid w:val="00521B0A"/>
    <w:rsid w:val="00587539"/>
    <w:rsid w:val="005A3F0E"/>
    <w:rsid w:val="005A44E2"/>
    <w:rsid w:val="005B2270"/>
    <w:rsid w:val="005C7B34"/>
    <w:rsid w:val="005D5172"/>
    <w:rsid w:val="005E10AE"/>
    <w:rsid w:val="0060112A"/>
    <w:rsid w:val="006157B5"/>
    <w:rsid w:val="00635E94"/>
    <w:rsid w:val="0065131B"/>
    <w:rsid w:val="00653591"/>
    <w:rsid w:val="00655268"/>
    <w:rsid w:val="0068606D"/>
    <w:rsid w:val="006A6A4B"/>
    <w:rsid w:val="006C77FF"/>
    <w:rsid w:val="00731378"/>
    <w:rsid w:val="00771E86"/>
    <w:rsid w:val="00780F98"/>
    <w:rsid w:val="00790741"/>
    <w:rsid w:val="00794CB6"/>
    <w:rsid w:val="007B213D"/>
    <w:rsid w:val="007B384F"/>
    <w:rsid w:val="007D5767"/>
    <w:rsid w:val="007D6208"/>
    <w:rsid w:val="007E251D"/>
    <w:rsid w:val="00807877"/>
    <w:rsid w:val="008219DA"/>
    <w:rsid w:val="00841E05"/>
    <w:rsid w:val="008433AB"/>
    <w:rsid w:val="008521E4"/>
    <w:rsid w:val="008B6830"/>
    <w:rsid w:val="008E72EE"/>
    <w:rsid w:val="00912454"/>
    <w:rsid w:val="00936F80"/>
    <w:rsid w:val="00963880"/>
    <w:rsid w:val="00973358"/>
    <w:rsid w:val="00992275"/>
    <w:rsid w:val="009C21FB"/>
    <w:rsid w:val="009F1A8E"/>
    <w:rsid w:val="00A00CB1"/>
    <w:rsid w:val="00A06D87"/>
    <w:rsid w:val="00A10539"/>
    <w:rsid w:val="00A37670"/>
    <w:rsid w:val="00A40D1E"/>
    <w:rsid w:val="00A544AF"/>
    <w:rsid w:val="00A6260D"/>
    <w:rsid w:val="00A81D99"/>
    <w:rsid w:val="00A86128"/>
    <w:rsid w:val="00A901B2"/>
    <w:rsid w:val="00AA2C38"/>
    <w:rsid w:val="00AB2FAE"/>
    <w:rsid w:val="00AB6C81"/>
    <w:rsid w:val="00AD3FCA"/>
    <w:rsid w:val="00AF1D74"/>
    <w:rsid w:val="00AF5BAF"/>
    <w:rsid w:val="00B0002C"/>
    <w:rsid w:val="00B04FEA"/>
    <w:rsid w:val="00B14B1F"/>
    <w:rsid w:val="00B255E4"/>
    <w:rsid w:val="00B27626"/>
    <w:rsid w:val="00B47034"/>
    <w:rsid w:val="00B556A7"/>
    <w:rsid w:val="00B71DF5"/>
    <w:rsid w:val="00B84210"/>
    <w:rsid w:val="00BF63D2"/>
    <w:rsid w:val="00C17B67"/>
    <w:rsid w:val="00C664FD"/>
    <w:rsid w:val="00CD7CB6"/>
    <w:rsid w:val="00CE41B8"/>
    <w:rsid w:val="00CF0AE1"/>
    <w:rsid w:val="00D05366"/>
    <w:rsid w:val="00D11C77"/>
    <w:rsid w:val="00D44D0C"/>
    <w:rsid w:val="00D83639"/>
    <w:rsid w:val="00D86BC6"/>
    <w:rsid w:val="00E0098F"/>
    <w:rsid w:val="00E14DD4"/>
    <w:rsid w:val="00E221CA"/>
    <w:rsid w:val="00E36E53"/>
    <w:rsid w:val="00E42496"/>
    <w:rsid w:val="00E44DC2"/>
    <w:rsid w:val="00E456E9"/>
    <w:rsid w:val="00E866BE"/>
    <w:rsid w:val="00E95E3B"/>
    <w:rsid w:val="00EE0F3D"/>
    <w:rsid w:val="00EE2A18"/>
    <w:rsid w:val="00EF1090"/>
    <w:rsid w:val="00F00591"/>
    <w:rsid w:val="00F01168"/>
    <w:rsid w:val="00F07BEF"/>
    <w:rsid w:val="00F248F5"/>
    <w:rsid w:val="00F270BC"/>
    <w:rsid w:val="00F46617"/>
    <w:rsid w:val="00F57B62"/>
    <w:rsid w:val="00F832D9"/>
    <w:rsid w:val="00F83918"/>
    <w:rsid w:val="00FA7CD1"/>
    <w:rsid w:val="00FC6F24"/>
    <w:rsid w:val="00FC76D4"/>
    <w:rsid w:val="00FD09EC"/>
    <w:rsid w:val="00FD36D1"/>
    <w:rsid w:val="00FD49D8"/>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86B0"/>
  <w15:docId w15:val="{487C985E-19DB-4576-8C12-ECD7842A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1417">
      <w:bodyDiv w:val="1"/>
      <w:marLeft w:val="0"/>
      <w:marRight w:val="0"/>
      <w:marTop w:val="0"/>
      <w:marBottom w:val="0"/>
      <w:divBdr>
        <w:top w:val="none" w:sz="0" w:space="0" w:color="auto"/>
        <w:left w:val="none" w:sz="0" w:space="0" w:color="auto"/>
        <w:bottom w:val="none" w:sz="0" w:space="0" w:color="auto"/>
        <w:right w:val="none" w:sz="0" w:space="0" w:color="auto"/>
      </w:divBdr>
      <w:divsChild>
        <w:div w:id="1031761390">
          <w:marLeft w:val="0"/>
          <w:marRight w:val="0"/>
          <w:marTop w:val="0"/>
          <w:marBottom w:val="0"/>
          <w:divBdr>
            <w:top w:val="none" w:sz="0" w:space="0" w:color="auto"/>
            <w:left w:val="none" w:sz="0" w:space="0" w:color="auto"/>
            <w:bottom w:val="none" w:sz="0" w:space="0" w:color="auto"/>
            <w:right w:val="none" w:sz="0" w:space="0" w:color="auto"/>
          </w:divBdr>
          <w:divsChild>
            <w:div w:id="1257861093">
              <w:marLeft w:val="0"/>
              <w:marRight w:val="60"/>
              <w:marTop w:val="0"/>
              <w:marBottom w:val="0"/>
              <w:divBdr>
                <w:top w:val="none" w:sz="0" w:space="0" w:color="auto"/>
                <w:left w:val="none" w:sz="0" w:space="0" w:color="auto"/>
                <w:bottom w:val="none" w:sz="0" w:space="0" w:color="auto"/>
                <w:right w:val="none" w:sz="0" w:space="0" w:color="auto"/>
              </w:divBdr>
              <w:divsChild>
                <w:div w:id="1112558279">
                  <w:marLeft w:val="0"/>
                  <w:marRight w:val="0"/>
                  <w:marTop w:val="0"/>
                  <w:marBottom w:val="120"/>
                  <w:divBdr>
                    <w:top w:val="single" w:sz="6" w:space="0" w:color="C0C0C0"/>
                    <w:left w:val="single" w:sz="6" w:space="0" w:color="D9D9D9"/>
                    <w:bottom w:val="single" w:sz="6" w:space="0" w:color="D9D9D9"/>
                    <w:right w:val="single" w:sz="6" w:space="0" w:color="D9D9D9"/>
                  </w:divBdr>
                  <w:divsChild>
                    <w:div w:id="14684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6670">
          <w:marLeft w:val="0"/>
          <w:marRight w:val="0"/>
          <w:marTop w:val="0"/>
          <w:marBottom w:val="0"/>
          <w:divBdr>
            <w:top w:val="none" w:sz="0" w:space="0" w:color="auto"/>
            <w:left w:val="none" w:sz="0" w:space="0" w:color="auto"/>
            <w:bottom w:val="none" w:sz="0" w:space="0" w:color="auto"/>
            <w:right w:val="none" w:sz="0" w:space="0" w:color="auto"/>
          </w:divBdr>
          <w:divsChild>
            <w:div w:id="1159422011">
              <w:marLeft w:val="60"/>
              <w:marRight w:val="0"/>
              <w:marTop w:val="0"/>
              <w:marBottom w:val="0"/>
              <w:divBdr>
                <w:top w:val="none" w:sz="0" w:space="0" w:color="auto"/>
                <w:left w:val="none" w:sz="0" w:space="0" w:color="auto"/>
                <w:bottom w:val="none" w:sz="0" w:space="0" w:color="auto"/>
                <w:right w:val="none" w:sz="0" w:space="0" w:color="auto"/>
              </w:divBdr>
              <w:divsChild>
                <w:div w:id="653066909">
                  <w:marLeft w:val="0"/>
                  <w:marRight w:val="0"/>
                  <w:marTop w:val="0"/>
                  <w:marBottom w:val="0"/>
                  <w:divBdr>
                    <w:top w:val="none" w:sz="0" w:space="0" w:color="auto"/>
                    <w:left w:val="none" w:sz="0" w:space="0" w:color="auto"/>
                    <w:bottom w:val="none" w:sz="0" w:space="0" w:color="auto"/>
                    <w:right w:val="none" w:sz="0" w:space="0" w:color="auto"/>
                  </w:divBdr>
                  <w:divsChild>
                    <w:div w:id="1373193145">
                      <w:marLeft w:val="0"/>
                      <w:marRight w:val="0"/>
                      <w:marTop w:val="0"/>
                      <w:marBottom w:val="120"/>
                      <w:divBdr>
                        <w:top w:val="single" w:sz="6" w:space="0" w:color="F5F5F5"/>
                        <w:left w:val="single" w:sz="6" w:space="0" w:color="F5F5F5"/>
                        <w:bottom w:val="single" w:sz="6" w:space="0" w:color="F5F5F5"/>
                        <w:right w:val="single" w:sz="6" w:space="0" w:color="F5F5F5"/>
                      </w:divBdr>
                      <w:divsChild>
                        <w:div w:id="244654638">
                          <w:marLeft w:val="0"/>
                          <w:marRight w:val="0"/>
                          <w:marTop w:val="0"/>
                          <w:marBottom w:val="0"/>
                          <w:divBdr>
                            <w:top w:val="none" w:sz="0" w:space="0" w:color="auto"/>
                            <w:left w:val="none" w:sz="0" w:space="0" w:color="auto"/>
                            <w:bottom w:val="none" w:sz="0" w:space="0" w:color="auto"/>
                            <w:right w:val="none" w:sz="0" w:space="0" w:color="auto"/>
                          </w:divBdr>
                          <w:divsChild>
                            <w:div w:id="14986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230464142">
      <w:bodyDiv w:val="1"/>
      <w:marLeft w:val="0"/>
      <w:marRight w:val="0"/>
      <w:marTop w:val="0"/>
      <w:marBottom w:val="0"/>
      <w:divBdr>
        <w:top w:val="none" w:sz="0" w:space="0" w:color="auto"/>
        <w:left w:val="none" w:sz="0" w:space="0" w:color="auto"/>
        <w:bottom w:val="none" w:sz="0" w:space="0" w:color="auto"/>
        <w:right w:val="none" w:sz="0" w:space="0" w:color="auto"/>
      </w:divBdr>
      <w:divsChild>
        <w:div w:id="2130079578">
          <w:marLeft w:val="0"/>
          <w:marRight w:val="0"/>
          <w:marTop w:val="0"/>
          <w:marBottom w:val="0"/>
          <w:divBdr>
            <w:top w:val="none" w:sz="0" w:space="0" w:color="auto"/>
            <w:left w:val="none" w:sz="0" w:space="0" w:color="auto"/>
            <w:bottom w:val="none" w:sz="0" w:space="0" w:color="auto"/>
            <w:right w:val="none" w:sz="0" w:space="0" w:color="auto"/>
          </w:divBdr>
          <w:divsChild>
            <w:div w:id="455371053">
              <w:marLeft w:val="0"/>
              <w:marRight w:val="60"/>
              <w:marTop w:val="0"/>
              <w:marBottom w:val="0"/>
              <w:divBdr>
                <w:top w:val="none" w:sz="0" w:space="0" w:color="auto"/>
                <w:left w:val="none" w:sz="0" w:space="0" w:color="auto"/>
                <w:bottom w:val="none" w:sz="0" w:space="0" w:color="auto"/>
                <w:right w:val="none" w:sz="0" w:space="0" w:color="auto"/>
              </w:divBdr>
              <w:divsChild>
                <w:div w:id="1475294529">
                  <w:marLeft w:val="0"/>
                  <w:marRight w:val="0"/>
                  <w:marTop w:val="0"/>
                  <w:marBottom w:val="120"/>
                  <w:divBdr>
                    <w:top w:val="single" w:sz="6" w:space="0" w:color="C0C0C0"/>
                    <w:left w:val="single" w:sz="6" w:space="0" w:color="D9D9D9"/>
                    <w:bottom w:val="single" w:sz="6" w:space="0" w:color="D9D9D9"/>
                    <w:right w:val="single" w:sz="6" w:space="0" w:color="D9D9D9"/>
                  </w:divBdr>
                  <w:divsChild>
                    <w:div w:id="18539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8431">
          <w:marLeft w:val="0"/>
          <w:marRight w:val="0"/>
          <w:marTop w:val="0"/>
          <w:marBottom w:val="0"/>
          <w:divBdr>
            <w:top w:val="none" w:sz="0" w:space="0" w:color="auto"/>
            <w:left w:val="none" w:sz="0" w:space="0" w:color="auto"/>
            <w:bottom w:val="none" w:sz="0" w:space="0" w:color="auto"/>
            <w:right w:val="none" w:sz="0" w:space="0" w:color="auto"/>
          </w:divBdr>
          <w:divsChild>
            <w:div w:id="147283374">
              <w:marLeft w:val="60"/>
              <w:marRight w:val="0"/>
              <w:marTop w:val="0"/>
              <w:marBottom w:val="0"/>
              <w:divBdr>
                <w:top w:val="none" w:sz="0" w:space="0" w:color="auto"/>
                <w:left w:val="none" w:sz="0" w:space="0" w:color="auto"/>
                <w:bottom w:val="none" w:sz="0" w:space="0" w:color="auto"/>
                <w:right w:val="none" w:sz="0" w:space="0" w:color="auto"/>
              </w:divBdr>
              <w:divsChild>
                <w:div w:id="437918812">
                  <w:marLeft w:val="0"/>
                  <w:marRight w:val="0"/>
                  <w:marTop w:val="0"/>
                  <w:marBottom w:val="0"/>
                  <w:divBdr>
                    <w:top w:val="none" w:sz="0" w:space="0" w:color="auto"/>
                    <w:left w:val="none" w:sz="0" w:space="0" w:color="auto"/>
                    <w:bottom w:val="none" w:sz="0" w:space="0" w:color="auto"/>
                    <w:right w:val="none" w:sz="0" w:space="0" w:color="auto"/>
                  </w:divBdr>
                  <w:divsChild>
                    <w:div w:id="1544322014">
                      <w:marLeft w:val="0"/>
                      <w:marRight w:val="0"/>
                      <w:marTop w:val="0"/>
                      <w:marBottom w:val="120"/>
                      <w:divBdr>
                        <w:top w:val="single" w:sz="6" w:space="0" w:color="F5F5F5"/>
                        <w:left w:val="single" w:sz="6" w:space="0" w:color="F5F5F5"/>
                        <w:bottom w:val="single" w:sz="6" w:space="0" w:color="F5F5F5"/>
                        <w:right w:val="single" w:sz="6" w:space="0" w:color="F5F5F5"/>
                      </w:divBdr>
                      <w:divsChild>
                        <w:div w:id="529685796">
                          <w:marLeft w:val="0"/>
                          <w:marRight w:val="0"/>
                          <w:marTop w:val="0"/>
                          <w:marBottom w:val="0"/>
                          <w:divBdr>
                            <w:top w:val="none" w:sz="0" w:space="0" w:color="auto"/>
                            <w:left w:val="none" w:sz="0" w:space="0" w:color="auto"/>
                            <w:bottom w:val="none" w:sz="0" w:space="0" w:color="auto"/>
                            <w:right w:val="none" w:sz="0" w:space="0" w:color="auto"/>
                          </w:divBdr>
                          <w:divsChild>
                            <w:div w:id="410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research/participants/portal/desktop/en/opportunities/h2020/topics/4093-ee-24-2016-20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1</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FIGUEROA, Ana</dc:creator>
  <cp:lastModifiedBy>Becario NAVARRA (ELEXPE BASTIDA,Oscar</cp:lastModifiedBy>
  <cp:revision>59</cp:revision>
  <dcterms:created xsi:type="dcterms:W3CDTF">2016-01-29T14:13:00Z</dcterms:created>
  <dcterms:modified xsi:type="dcterms:W3CDTF">2016-06-20T13:35:00Z</dcterms:modified>
</cp:coreProperties>
</file>