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57B62" w:rsidRPr="00F57B62" w:rsidTr="00F83918">
        <w:tc>
          <w:tcPr>
            <w:tcW w:w="10173" w:type="dxa"/>
          </w:tcPr>
          <w:p w:rsidR="00F57B62" w:rsidRPr="00E14DD4" w:rsidRDefault="006251E9" w:rsidP="003C4A50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 xml:space="preserve">Fondo de Investigación de </w:t>
            </w:r>
            <w:r w:rsidR="000505CA"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>Carbón</w:t>
            </w:r>
            <w:r w:rsidR="00F57B62" w:rsidRPr="00F57B62"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>- FICHA TÉCNICA</w:t>
            </w:r>
          </w:p>
        </w:tc>
      </w:tr>
    </w:tbl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Cuadrculamedia1-nfasis11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F57B62" w:rsidRPr="00F57B62" w:rsidTr="00F83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F57B62" w:rsidP="00F57B62">
            <w:pPr>
              <w:rPr>
                <w:rFonts w:ascii="Calibri" w:eastAsia="Calibri" w:hAnsi="Calibri" w:cs="Times New Roman"/>
              </w:rPr>
            </w:pPr>
            <w:r w:rsidRPr="00F57B62">
              <w:rPr>
                <w:rFonts w:ascii="Calibri" w:eastAsia="Calibri" w:hAnsi="Calibri" w:cs="Times New Roman"/>
              </w:rPr>
              <w:t xml:space="preserve">Objeto de la </w:t>
            </w:r>
            <w:r>
              <w:rPr>
                <w:rFonts w:ascii="Calibri" w:eastAsia="Calibri" w:hAnsi="Calibri" w:cs="Times New Roman"/>
              </w:rPr>
              <w:t>s</w:t>
            </w:r>
            <w:r w:rsidRPr="00F57B62">
              <w:rPr>
                <w:rFonts w:ascii="Calibri" w:eastAsia="Calibri" w:hAnsi="Calibri" w:cs="Times New Roman"/>
              </w:rPr>
              <w:t>ubvención</w:t>
            </w:r>
          </w:p>
        </w:tc>
        <w:tc>
          <w:tcPr>
            <w:tcW w:w="8364" w:type="dxa"/>
          </w:tcPr>
          <w:p w:rsidR="00F57B62" w:rsidRPr="00385E62" w:rsidRDefault="00F210BF" w:rsidP="007369E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F210BF">
              <w:rPr>
                <w:rFonts w:eastAsia="Calibri" w:cs="Times New Roman"/>
                <w:b w:val="0"/>
              </w:rPr>
              <w:t>La investigación y el desarrollo tecnológico constituyen un medio muy importante de apoyo a los objetivos europeos de la energía en relación con el suministro de carbón y en su conversión y utilización competitivas y ecológicas. Por otra parte, la creciente dimensión internacional del mercado del carbón y la escala global de los problemas que enfrenta significa que la Unión Europea ha de asumir un papel de liderazgo frente a los desafíos relacionados con las técnicas modernas, seguridad minera y la protección del medio ambiente a nivel mundial, garantizando la transferencia de los conocimientos técnicos necesarios para acelerar el progreso tecnológico, la mejora de las condiciones de trabajo (salud y seguridad) y una mayor protección del medio ambiente.</w:t>
            </w:r>
          </w:p>
        </w:tc>
      </w:tr>
      <w:tr w:rsidR="00F57B62" w:rsidRPr="00F57B62" w:rsidTr="00F83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F57B62" w:rsidP="00F57B62">
            <w:pPr>
              <w:rPr>
                <w:rFonts w:ascii="Calibri" w:eastAsia="Calibri" w:hAnsi="Calibri" w:cs="Times New Roman"/>
              </w:rPr>
            </w:pPr>
            <w:r w:rsidRPr="00F57B62">
              <w:rPr>
                <w:rFonts w:ascii="Calibri" w:eastAsia="Calibri" w:hAnsi="Calibri" w:cs="Times New Roman"/>
              </w:rPr>
              <w:t>Plazos</w:t>
            </w:r>
          </w:p>
        </w:tc>
        <w:tc>
          <w:tcPr>
            <w:tcW w:w="8364" w:type="dxa"/>
          </w:tcPr>
          <w:p w:rsidR="00F57B62" w:rsidRPr="00F57B62" w:rsidRDefault="00F210BF" w:rsidP="00F21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Plazo de apertura: </w:t>
            </w:r>
            <w:r>
              <w:rPr>
                <w:rFonts w:ascii="Calibri" w:eastAsia="Calibri" w:hAnsi="Calibri" w:cs="Times New Roman"/>
              </w:rPr>
              <w:t>15</w:t>
            </w:r>
            <w:r>
              <w:rPr>
                <w:rFonts w:ascii="Calibri" w:eastAsia="Calibri" w:hAnsi="Calibri" w:cs="Times New Roman"/>
              </w:rPr>
              <w:t xml:space="preserve"> de </w:t>
            </w:r>
            <w:r>
              <w:rPr>
                <w:rFonts w:ascii="Calibri" w:eastAsia="Calibri" w:hAnsi="Calibri" w:cs="Times New Roman"/>
              </w:rPr>
              <w:t>Junio</w:t>
            </w:r>
            <w:r>
              <w:rPr>
                <w:rFonts w:ascii="Calibri" w:eastAsia="Calibri" w:hAnsi="Calibri" w:cs="Times New Roman"/>
              </w:rPr>
              <w:t xml:space="preserve"> de 201</w:t>
            </w:r>
            <w:r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 xml:space="preserve"> – Plazo de cierre: </w:t>
            </w:r>
            <w:r>
              <w:rPr>
                <w:rFonts w:ascii="Calibri" w:eastAsia="Calibri" w:hAnsi="Calibri" w:cs="Times New Roman"/>
              </w:rPr>
              <w:t>15 de Septiembre de 2016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  <w:tr w:rsidR="00F57B62" w:rsidRPr="00F57B62" w:rsidTr="00F83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5E10AE" w:rsidP="00F57B6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Presupuesto</w:t>
            </w:r>
          </w:p>
        </w:tc>
        <w:tc>
          <w:tcPr>
            <w:tcW w:w="8364" w:type="dxa"/>
          </w:tcPr>
          <w:p w:rsidR="00EE2A18" w:rsidRPr="00B556A7" w:rsidRDefault="005E10AE" w:rsidP="00F8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t xml:space="preserve">Una bolsa de </w:t>
            </w:r>
            <w:r w:rsidR="00F83918">
              <w:rPr>
                <w:b/>
              </w:rPr>
              <w:t>4</w:t>
            </w:r>
            <w:r w:rsidR="00F210BF">
              <w:rPr>
                <w:b/>
              </w:rPr>
              <w:t>2.1</w:t>
            </w:r>
            <w:r w:rsidRPr="005E10AE">
              <w:rPr>
                <w:b/>
              </w:rPr>
              <w:t>00.000 €</w:t>
            </w:r>
          </w:p>
        </w:tc>
      </w:tr>
      <w:tr w:rsidR="00F57B62" w:rsidRPr="00F57B62" w:rsidTr="00F83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F57B62" w:rsidP="00F57B62">
            <w:pPr>
              <w:rPr>
                <w:rFonts w:ascii="Calibri" w:eastAsia="Calibri" w:hAnsi="Calibri" w:cs="Times New Roman"/>
              </w:rPr>
            </w:pPr>
            <w:r w:rsidRPr="00F57B62">
              <w:rPr>
                <w:rFonts w:ascii="Calibri" w:eastAsia="Calibri" w:hAnsi="Calibri" w:cs="Times New Roman"/>
              </w:rPr>
              <w:t>Observaciones</w:t>
            </w:r>
          </w:p>
        </w:tc>
        <w:tc>
          <w:tcPr>
            <w:tcW w:w="8364" w:type="dxa"/>
          </w:tcPr>
          <w:p w:rsidR="00F210BF" w:rsidRPr="007369EA" w:rsidRDefault="00F210BF" w:rsidP="00F21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lang w:val="es-ES"/>
              </w:rPr>
            </w:pPr>
            <w:r w:rsidRPr="007369EA">
              <w:rPr>
                <w:rFonts w:ascii="Calibri" w:eastAsia="Calibri" w:hAnsi="Calibri" w:cs="Times New Roman"/>
                <w:b/>
                <w:lang w:val="es-ES"/>
              </w:rPr>
              <w:t>1. Mejora de la competitividad del carbón comunitario</w:t>
            </w:r>
          </w:p>
          <w:p w:rsidR="00F210BF" w:rsidRPr="00F210BF" w:rsidRDefault="00F210BF" w:rsidP="00F21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F210BF">
              <w:rPr>
                <w:rFonts w:ascii="Calibri" w:eastAsia="Calibri" w:hAnsi="Calibri" w:cs="Times New Roman"/>
                <w:lang w:val="es-ES"/>
              </w:rPr>
              <w:t>Este objetivo tiene como objetivo reducir los costes totales de producción minera, la mejora de la calidad de los productos y la reducción de los costes de utilización del carbón. Esto puede relacionarse con cualquiera de las fases de la cadena de producción:</w:t>
            </w:r>
          </w:p>
          <w:p w:rsidR="00F210BF" w:rsidRPr="007369EA" w:rsidRDefault="00F210BF" w:rsidP="007369E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lang w:val="es-ES"/>
              </w:rPr>
              <w:t>técnicas modernas de exploración de yacimientos;</w:t>
            </w:r>
          </w:p>
          <w:p w:rsidR="00F210BF" w:rsidRPr="007369EA" w:rsidRDefault="00F210BF" w:rsidP="007369E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lang w:val="es-ES"/>
              </w:rPr>
              <w:t>comportamiento y el control de los depósitos en relación con la presión del terreno, las emisiones de gases, el riesgo de explosión, la ventilación y todos los demás factores que afectan a las operaciones mineras;</w:t>
            </w:r>
          </w:p>
          <w:p w:rsidR="00F210BF" w:rsidRPr="007369EA" w:rsidRDefault="00F210BF" w:rsidP="007369E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lang w:val="es-ES"/>
              </w:rPr>
              <w:t>planificación de la mina integrada;</w:t>
            </w:r>
          </w:p>
          <w:p w:rsidR="00F210BF" w:rsidRPr="007369EA" w:rsidRDefault="00F210BF" w:rsidP="007369E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lang w:val="es-ES"/>
              </w:rPr>
              <w:t>altamente eficiente, excavación en gran medida automatizado y las tecnologías mineras a nuevos y existentes que corresponden a las características geológicas de los yacimientos europeos de carbón;</w:t>
            </w:r>
          </w:p>
          <w:p w:rsidR="00F210BF" w:rsidRPr="007369EA" w:rsidRDefault="00F210BF" w:rsidP="007369E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lang w:val="es-ES"/>
              </w:rPr>
              <w:t>tecnologías de apoyo adecuadas;</w:t>
            </w:r>
          </w:p>
          <w:p w:rsidR="00F210BF" w:rsidRPr="007369EA" w:rsidRDefault="00F210BF" w:rsidP="007369E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lang w:val="es-ES"/>
              </w:rPr>
              <w:t>sistemas de transporte;</w:t>
            </w:r>
          </w:p>
          <w:p w:rsidR="007369EA" w:rsidRDefault="00F210BF" w:rsidP="00F210BF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lang w:val="es-ES"/>
              </w:rPr>
              <w:t>servicios de suministro de energía, comunicación e información, transmisión, sistemas de vigilancia y control de procesos;</w:t>
            </w:r>
          </w:p>
          <w:p w:rsidR="007369EA" w:rsidRDefault="00F210BF" w:rsidP="00F210BF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lang w:val="es-ES"/>
              </w:rPr>
              <w:t>técnicas de preparación del carbón d</w:t>
            </w:r>
            <w:bookmarkStart w:id="0" w:name="_GoBack"/>
            <w:bookmarkEnd w:id="0"/>
            <w:r w:rsidRPr="007369EA">
              <w:rPr>
                <w:rFonts w:ascii="Calibri" w:eastAsia="Calibri" w:hAnsi="Calibri" w:cs="Times New Roman"/>
                <w:lang w:val="es-ES"/>
              </w:rPr>
              <w:t>e cara a las necesidades de los mercados de consumo;</w:t>
            </w:r>
          </w:p>
          <w:p w:rsidR="007369EA" w:rsidRDefault="00F210BF" w:rsidP="00F210BF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lang w:val="es-ES"/>
              </w:rPr>
              <w:t>conversión del carbón;</w:t>
            </w:r>
          </w:p>
          <w:p w:rsidR="00F210BF" w:rsidRPr="007369EA" w:rsidRDefault="00F210BF" w:rsidP="00F210BF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lang w:val="es-ES"/>
              </w:rPr>
              <w:t>la combustión de carbón.</w:t>
            </w:r>
          </w:p>
          <w:p w:rsidR="00F210BF" w:rsidRPr="007369EA" w:rsidRDefault="00F210BF" w:rsidP="00F21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lang w:val="es-ES"/>
              </w:rPr>
            </w:pPr>
            <w:r w:rsidRPr="007369EA">
              <w:rPr>
                <w:rFonts w:ascii="Calibri" w:eastAsia="Calibri" w:hAnsi="Calibri" w:cs="Times New Roman"/>
                <w:b/>
                <w:lang w:val="es-ES"/>
              </w:rPr>
              <w:t>2. Salud y seguridad en las minas</w:t>
            </w:r>
          </w:p>
          <w:p w:rsidR="00F210BF" w:rsidRPr="007369EA" w:rsidRDefault="00F210BF" w:rsidP="00F21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lang w:val="es-ES"/>
              </w:rPr>
            </w:pPr>
            <w:r w:rsidRPr="007369EA">
              <w:rPr>
                <w:rFonts w:ascii="Calibri" w:eastAsia="Calibri" w:hAnsi="Calibri" w:cs="Times New Roman"/>
                <w:b/>
                <w:lang w:val="es-ES"/>
              </w:rPr>
              <w:t>3. Protección eficaz del medio ambiente y la mejora de la utilización del carbón como fuente de energía limpia</w:t>
            </w:r>
          </w:p>
          <w:p w:rsidR="00F01168" w:rsidRPr="00E456E9" w:rsidRDefault="00F210BF" w:rsidP="00F21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7369EA">
              <w:rPr>
                <w:rFonts w:ascii="Calibri" w:eastAsia="Calibri" w:hAnsi="Calibri" w:cs="Times New Roman"/>
                <w:b/>
                <w:lang w:val="es-ES"/>
              </w:rPr>
              <w:t>4. Gestión de la dependencia externa en el abastecimiento energético</w:t>
            </w:r>
          </w:p>
        </w:tc>
      </w:tr>
    </w:tbl>
    <w:p w:rsidR="00790741" w:rsidRDefault="00F57B62" w:rsidP="0079074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57B62">
        <w:rPr>
          <w:rFonts w:ascii="Calibri" w:eastAsia="Calibri" w:hAnsi="Calibri" w:cs="Times New Roman"/>
          <w:b/>
          <w:sz w:val="24"/>
          <w:szCs w:val="24"/>
        </w:rPr>
        <w:t xml:space="preserve">Ver </w:t>
      </w:r>
      <w:proofErr w:type="spellStart"/>
      <w:r w:rsidRPr="00F57B62">
        <w:rPr>
          <w:rFonts w:ascii="Calibri" w:eastAsia="Calibri" w:hAnsi="Calibri" w:cs="Times New Roman"/>
          <w:b/>
          <w:sz w:val="24"/>
          <w:szCs w:val="24"/>
        </w:rPr>
        <w:t>info</w:t>
      </w:r>
      <w:proofErr w:type="spellEnd"/>
      <w:r w:rsidRPr="00F57B62">
        <w:rPr>
          <w:rFonts w:ascii="Calibri" w:eastAsia="Calibri" w:hAnsi="Calibri" w:cs="Times New Roman"/>
          <w:b/>
          <w:sz w:val="24"/>
          <w:szCs w:val="24"/>
        </w:rPr>
        <w:t xml:space="preserve"> completa en:</w:t>
      </w:r>
    </w:p>
    <w:p w:rsidR="000505CA" w:rsidRPr="00274CCD" w:rsidRDefault="003C4083" w:rsidP="0079074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lang w:val="es-ES_tradnl"/>
        </w:rPr>
      </w:pPr>
      <w:hyperlink r:id="rId7" w:history="1">
        <w:r w:rsidR="000505CA" w:rsidRPr="006408E5">
          <w:rPr>
            <w:rStyle w:val="Hipervnculo"/>
            <w:lang w:val="es-ES_tradnl"/>
          </w:rPr>
          <w:t>http://ec.europa.eu/research/participants/portal/desktop/en/opportunities/rfcs/topics/19063-rfcs-01-2016.html</w:t>
        </w:r>
      </w:hyperlink>
    </w:p>
    <w:sectPr w:rsidR="000505CA" w:rsidRPr="00274CCD" w:rsidSect="00F8391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83" w:rsidRDefault="003C4083">
      <w:pPr>
        <w:spacing w:after="0" w:line="240" w:lineRule="auto"/>
      </w:pPr>
      <w:r>
        <w:separator/>
      </w:r>
    </w:p>
  </w:endnote>
  <w:endnote w:type="continuationSeparator" w:id="0">
    <w:p w:rsidR="003C4083" w:rsidRDefault="003C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Ind w:w="7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3021"/>
      <w:gridCol w:w="3137"/>
    </w:tblGrid>
    <w:tr w:rsidR="00C664FD" w:rsidRPr="00E221CA" w:rsidTr="00F83918">
      <w:tc>
        <w:tcPr>
          <w:tcW w:w="2881" w:type="dxa"/>
          <w:vAlign w:val="bottom"/>
        </w:tcPr>
        <w:p w:rsidR="00C664FD" w:rsidRPr="00F57B62" w:rsidRDefault="00C664FD" w:rsidP="00F83918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Bruselako Delegazioa</w:t>
          </w:r>
        </w:p>
        <w:p w:rsidR="00C664FD" w:rsidRPr="00F57B62" w:rsidRDefault="00C664FD" w:rsidP="00F83918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Delegation in Brussels</w:t>
          </w:r>
        </w:p>
      </w:tc>
      <w:tc>
        <w:tcPr>
          <w:tcW w:w="3021" w:type="dxa"/>
        </w:tcPr>
        <w:p w:rsidR="00C664FD" w:rsidRPr="002802E5" w:rsidRDefault="00C664FD" w:rsidP="00F83918">
          <w:pPr>
            <w:pStyle w:val="Piedepgina1"/>
            <w:rPr>
              <w:b/>
              <w:i/>
              <w:sz w:val="18"/>
              <w:szCs w:val="18"/>
            </w:rPr>
          </w:pPr>
          <w:r w:rsidRPr="002802E5">
            <w:rPr>
              <w:b/>
              <w:i/>
              <w:noProof/>
              <w:sz w:val="18"/>
              <w:szCs w:val="18"/>
              <w:lang w:eastAsia="es-ES"/>
            </w:rPr>
            <w:drawing>
              <wp:inline distT="0" distB="0" distL="0" distR="0" wp14:anchorId="42A3C5D2" wp14:editId="1FE8DFC2">
                <wp:extent cx="1781175" cy="489328"/>
                <wp:effectExtent l="0" t="0" r="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4893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dxa"/>
          <w:vAlign w:val="bottom"/>
        </w:tcPr>
        <w:p w:rsidR="00C664FD" w:rsidRPr="001225C5" w:rsidRDefault="00C664FD" w:rsidP="00F83918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Délégation à Bruxelles</w:t>
          </w:r>
        </w:p>
        <w:p w:rsidR="00C664FD" w:rsidRPr="001225C5" w:rsidRDefault="00C664FD" w:rsidP="00F83918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proofErr w:type="spellStart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Delegación</w:t>
          </w:r>
          <w:proofErr w:type="spellEnd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 xml:space="preserve"> en </w:t>
          </w:r>
          <w:r>
            <w:rPr>
              <w:rFonts w:ascii="Arial" w:hAnsi="Arial" w:cs="Arial"/>
              <w:b/>
              <w:i/>
              <w:sz w:val="18"/>
              <w:szCs w:val="18"/>
              <w:lang w:val="fr-BE"/>
            </w:rPr>
            <w:t>B</w:t>
          </w: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ruselas</w:t>
          </w:r>
        </w:p>
      </w:tc>
    </w:tr>
  </w:tbl>
  <w:p w:rsidR="00C664FD" w:rsidRPr="004E04AE" w:rsidRDefault="00C664FD">
    <w:pPr>
      <w:pStyle w:val="Piedepgina1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83" w:rsidRDefault="003C4083">
      <w:pPr>
        <w:spacing w:after="0" w:line="240" w:lineRule="auto"/>
      </w:pPr>
      <w:r>
        <w:separator/>
      </w:r>
    </w:p>
  </w:footnote>
  <w:footnote w:type="continuationSeparator" w:id="0">
    <w:p w:rsidR="003C4083" w:rsidRDefault="003C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C664FD" w:rsidTr="00F83918">
      <w:tc>
        <w:tcPr>
          <w:tcW w:w="4322" w:type="dxa"/>
          <w:vAlign w:val="center"/>
        </w:tcPr>
        <w:p w:rsidR="00C664FD" w:rsidRPr="004E20C4" w:rsidRDefault="00C664FD" w:rsidP="00F83918">
          <w:pPr>
            <w:pStyle w:val="Encabezado1"/>
            <w:rPr>
              <w:b/>
              <w:i/>
              <w:sz w:val="16"/>
              <w:szCs w:val="16"/>
            </w:rPr>
          </w:pPr>
          <w:r w:rsidRPr="004E20C4">
            <w:rPr>
              <w:b/>
              <w:i/>
              <w:sz w:val="16"/>
              <w:szCs w:val="16"/>
            </w:rPr>
            <w:t xml:space="preserve">Ficha resumen – </w:t>
          </w:r>
          <w:proofErr w:type="spellStart"/>
          <w:r w:rsidRPr="004E20C4">
            <w:rPr>
              <w:b/>
              <w:i/>
              <w:sz w:val="16"/>
              <w:szCs w:val="16"/>
            </w:rPr>
            <w:t>laburpena</w:t>
          </w:r>
          <w:proofErr w:type="spellEnd"/>
        </w:p>
      </w:tc>
      <w:tc>
        <w:tcPr>
          <w:tcW w:w="4322" w:type="dxa"/>
        </w:tcPr>
        <w:p w:rsidR="00C664FD" w:rsidRDefault="00C664FD" w:rsidP="00F83918">
          <w:pPr>
            <w:pStyle w:val="Encabezado1"/>
            <w:ind w:left="2832"/>
          </w:pPr>
        </w:p>
      </w:tc>
    </w:tr>
  </w:tbl>
  <w:p w:rsidR="00C664FD" w:rsidRDefault="00C664FD" w:rsidP="00F83918">
    <w:pPr>
      <w:pStyle w:val="Encabezado1"/>
      <w:jc w:val="right"/>
    </w:pPr>
    <w:r>
      <w:rPr>
        <w:noProof/>
        <w:lang w:eastAsia="es-ES"/>
      </w:rPr>
      <w:drawing>
        <wp:inline distT="0" distB="0" distL="0" distR="0" wp14:anchorId="3DF0BAC7" wp14:editId="573A29C0">
          <wp:extent cx="942975" cy="352425"/>
          <wp:effectExtent l="0" t="0" r="9525" b="9525"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787"/>
    <w:multiLevelType w:val="hybridMultilevel"/>
    <w:tmpl w:val="4E5482B8"/>
    <w:lvl w:ilvl="0" w:tplc="226E61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0BB"/>
    <w:multiLevelType w:val="hybridMultilevel"/>
    <w:tmpl w:val="8ED62B5C"/>
    <w:lvl w:ilvl="0" w:tplc="619C22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6F8"/>
    <w:multiLevelType w:val="hybridMultilevel"/>
    <w:tmpl w:val="02804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273"/>
    <w:multiLevelType w:val="hybridMultilevel"/>
    <w:tmpl w:val="78908AE4"/>
    <w:lvl w:ilvl="0" w:tplc="812AA7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0D7D"/>
    <w:multiLevelType w:val="hybridMultilevel"/>
    <w:tmpl w:val="7CB228DC"/>
    <w:lvl w:ilvl="0" w:tplc="9EBC0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6341"/>
    <w:multiLevelType w:val="hybridMultilevel"/>
    <w:tmpl w:val="022837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4335F"/>
    <w:multiLevelType w:val="multilevel"/>
    <w:tmpl w:val="F0E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D4920"/>
    <w:multiLevelType w:val="hybridMultilevel"/>
    <w:tmpl w:val="9DAC5C6E"/>
    <w:lvl w:ilvl="0" w:tplc="9A203B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C7457"/>
    <w:multiLevelType w:val="hybridMultilevel"/>
    <w:tmpl w:val="2EB4FA64"/>
    <w:lvl w:ilvl="0" w:tplc="44EEAA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1000E"/>
    <w:multiLevelType w:val="hybridMultilevel"/>
    <w:tmpl w:val="3230BB06"/>
    <w:lvl w:ilvl="0" w:tplc="F58A62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11B0B"/>
    <w:multiLevelType w:val="multilevel"/>
    <w:tmpl w:val="412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D33C1"/>
    <w:multiLevelType w:val="hybridMultilevel"/>
    <w:tmpl w:val="B040010A"/>
    <w:lvl w:ilvl="0" w:tplc="E4646C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B0C34"/>
    <w:multiLevelType w:val="hybridMultilevel"/>
    <w:tmpl w:val="DEF850C0"/>
    <w:lvl w:ilvl="0" w:tplc="0C0A0005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3" w15:restartNumberingAfterBreak="0">
    <w:nsid w:val="69E24767"/>
    <w:multiLevelType w:val="hybridMultilevel"/>
    <w:tmpl w:val="0DCA5B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742EE7"/>
    <w:multiLevelType w:val="multilevel"/>
    <w:tmpl w:val="214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66EFE"/>
    <w:multiLevelType w:val="multilevel"/>
    <w:tmpl w:val="89D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27ACE"/>
    <w:multiLevelType w:val="hybridMultilevel"/>
    <w:tmpl w:val="3F58A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6"/>
  </w:num>
  <w:num w:numId="5">
    <w:abstractNumId w:val="10"/>
  </w:num>
  <w:num w:numId="6">
    <w:abstractNumId w:val="15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8"/>
  </w:num>
  <w:num w:numId="13">
    <w:abstractNumId w:val="11"/>
  </w:num>
  <w:num w:numId="14">
    <w:abstractNumId w:val="9"/>
  </w:num>
  <w:num w:numId="15">
    <w:abstractNumId w:val="16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12B66"/>
    <w:rsid w:val="00022FFA"/>
    <w:rsid w:val="0002706A"/>
    <w:rsid w:val="000505CA"/>
    <w:rsid w:val="000979A4"/>
    <w:rsid w:val="000C6186"/>
    <w:rsid w:val="00105170"/>
    <w:rsid w:val="001338C8"/>
    <w:rsid w:val="001623F6"/>
    <w:rsid w:val="00170134"/>
    <w:rsid w:val="00170DEF"/>
    <w:rsid w:val="001A1E46"/>
    <w:rsid w:val="001A7AA5"/>
    <w:rsid w:val="001B7BFA"/>
    <w:rsid w:val="001C4426"/>
    <w:rsid w:val="001D24C6"/>
    <w:rsid w:val="001F4DF5"/>
    <w:rsid w:val="002177CC"/>
    <w:rsid w:val="00221545"/>
    <w:rsid w:val="00234D03"/>
    <w:rsid w:val="00251E4A"/>
    <w:rsid w:val="002608FB"/>
    <w:rsid w:val="00274CCD"/>
    <w:rsid w:val="00275FB4"/>
    <w:rsid w:val="002911B0"/>
    <w:rsid w:val="00296D47"/>
    <w:rsid w:val="002C5A5F"/>
    <w:rsid w:val="002C65B6"/>
    <w:rsid w:val="002E1586"/>
    <w:rsid w:val="002F38A2"/>
    <w:rsid w:val="00312A51"/>
    <w:rsid w:val="00313382"/>
    <w:rsid w:val="003165FB"/>
    <w:rsid w:val="00327F3A"/>
    <w:rsid w:val="003328DC"/>
    <w:rsid w:val="00337D2B"/>
    <w:rsid w:val="00372CCC"/>
    <w:rsid w:val="00385E62"/>
    <w:rsid w:val="003925BF"/>
    <w:rsid w:val="00392E36"/>
    <w:rsid w:val="003B0CB0"/>
    <w:rsid w:val="003C4083"/>
    <w:rsid w:val="003C4A50"/>
    <w:rsid w:val="003E00C7"/>
    <w:rsid w:val="004148F8"/>
    <w:rsid w:val="00434A22"/>
    <w:rsid w:val="004938DC"/>
    <w:rsid w:val="004D1D28"/>
    <w:rsid w:val="00500186"/>
    <w:rsid w:val="00521B0A"/>
    <w:rsid w:val="00587539"/>
    <w:rsid w:val="005A3F0E"/>
    <w:rsid w:val="005A44E2"/>
    <w:rsid w:val="005B2270"/>
    <w:rsid w:val="005C7B34"/>
    <w:rsid w:val="005D5172"/>
    <w:rsid w:val="005E10AE"/>
    <w:rsid w:val="0060112A"/>
    <w:rsid w:val="006157B5"/>
    <w:rsid w:val="006251E9"/>
    <w:rsid w:val="00635E94"/>
    <w:rsid w:val="0065131B"/>
    <w:rsid w:val="00653591"/>
    <w:rsid w:val="00655268"/>
    <w:rsid w:val="0068606D"/>
    <w:rsid w:val="006A6A4B"/>
    <w:rsid w:val="006C77FF"/>
    <w:rsid w:val="00731378"/>
    <w:rsid w:val="007369EA"/>
    <w:rsid w:val="00771E86"/>
    <w:rsid w:val="00780F98"/>
    <w:rsid w:val="00790741"/>
    <w:rsid w:val="00794CB6"/>
    <w:rsid w:val="007B213D"/>
    <w:rsid w:val="007B384F"/>
    <w:rsid w:val="007D5767"/>
    <w:rsid w:val="007D6208"/>
    <w:rsid w:val="007E251D"/>
    <w:rsid w:val="00807877"/>
    <w:rsid w:val="008219DA"/>
    <w:rsid w:val="00841E05"/>
    <w:rsid w:val="008433AB"/>
    <w:rsid w:val="008521E4"/>
    <w:rsid w:val="008B6830"/>
    <w:rsid w:val="008E72EE"/>
    <w:rsid w:val="00912454"/>
    <w:rsid w:val="00936F80"/>
    <w:rsid w:val="00963880"/>
    <w:rsid w:val="00973358"/>
    <w:rsid w:val="00992275"/>
    <w:rsid w:val="009C21FB"/>
    <w:rsid w:val="009F1A8E"/>
    <w:rsid w:val="00A00CB1"/>
    <w:rsid w:val="00A06D87"/>
    <w:rsid w:val="00A10539"/>
    <w:rsid w:val="00A22897"/>
    <w:rsid w:val="00A37670"/>
    <w:rsid w:val="00A40D1E"/>
    <w:rsid w:val="00A544AF"/>
    <w:rsid w:val="00A6260D"/>
    <w:rsid w:val="00A81D99"/>
    <w:rsid w:val="00A86128"/>
    <w:rsid w:val="00A901B2"/>
    <w:rsid w:val="00AA2C38"/>
    <w:rsid w:val="00AB2FAE"/>
    <w:rsid w:val="00AB6C81"/>
    <w:rsid w:val="00AD3FCA"/>
    <w:rsid w:val="00AF1D74"/>
    <w:rsid w:val="00AF5BAF"/>
    <w:rsid w:val="00B0002C"/>
    <w:rsid w:val="00B04FEA"/>
    <w:rsid w:val="00B14B1F"/>
    <w:rsid w:val="00B255E4"/>
    <w:rsid w:val="00B27626"/>
    <w:rsid w:val="00B47034"/>
    <w:rsid w:val="00B556A7"/>
    <w:rsid w:val="00B71DF5"/>
    <w:rsid w:val="00B84210"/>
    <w:rsid w:val="00BF63D2"/>
    <w:rsid w:val="00C07D46"/>
    <w:rsid w:val="00C17B67"/>
    <w:rsid w:val="00C664FD"/>
    <w:rsid w:val="00CD7CB6"/>
    <w:rsid w:val="00CE41B8"/>
    <w:rsid w:val="00CF0AE1"/>
    <w:rsid w:val="00D05366"/>
    <w:rsid w:val="00D11C77"/>
    <w:rsid w:val="00D44D0C"/>
    <w:rsid w:val="00D83639"/>
    <w:rsid w:val="00D86BC6"/>
    <w:rsid w:val="00E0098F"/>
    <w:rsid w:val="00E14DD4"/>
    <w:rsid w:val="00E221CA"/>
    <w:rsid w:val="00E36E53"/>
    <w:rsid w:val="00E42496"/>
    <w:rsid w:val="00E44DC2"/>
    <w:rsid w:val="00E456E9"/>
    <w:rsid w:val="00E866BE"/>
    <w:rsid w:val="00E95E3B"/>
    <w:rsid w:val="00EE0F3D"/>
    <w:rsid w:val="00EE2A18"/>
    <w:rsid w:val="00EF1090"/>
    <w:rsid w:val="00F00591"/>
    <w:rsid w:val="00F01168"/>
    <w:rsid w:val="00F07BEF"/>
    <w:rsid w:val="00F210BF"/>
    <w:rsid w:val="00F248F5"/>
    <w:rsid w:val="00F270BC"/>
    <w:rsid w:val="00F46617"/>
    <w:rsid w:val="00F57B62"/>
    <w:rsid w:val="00F832D9"/>
    <w:rsid w:val="00F83918"/>
    <w:rsid w:val="00FA7CD1"/>
    <w:rsid w:val="00FC6F24"/>
    <w:rsid w:val="00FC76D4"/>
    <w:rsid w:val="00FD09EC"/>
    <w:rsid w:val="00FD36D1"/>
    <w:rsid w:val="00FD49D8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E5C4"/>
  <w15:docId w15:val="{487C985E-19DB-4576-8C12-ECD7842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F57B62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F57B62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F57B62"/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F57B62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Tablaconcuadrcula">
    <w:name w:val="Table Grid"/>
    <w:basedOn w:val="Tablanormal"/>
    <w:uiPriority w:val="59"/>
    <w:rsid w:val="00F5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F57B62"/>
  </w:style>
  <w:style w:type="paragraph" w:styleId="Piedepgina">
    <w:name w:val="footer"/>
    <w:basedOn w:val="Normal"/>
    <w:link w:val="Piedepgina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F57B62"/>
  </w:style>
  <w:style w:type="table" w:styleId="Cuadrculamedia1-nfasis1">
    <w:name w:val="Medium Grid 1 Accent 1"/>
    <w:basedOn w:val="Tablanormal"/>
    <w:uiPriority w:val="67"/>
    <w:rsid w:val="00F57B6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5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B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2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517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638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0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827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684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20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314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446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9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05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452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539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3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3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2201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296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c.europa.eu/research/participants/portal/desktop/en/opportunities/rfcs/topics/19063-rfcs-01-201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FIGUEROA, Ana</dc:creator>
  <cp:lastModifiedBy>Becario NAVARRA (ELEXPE BASTIDA,Oscar</cp:lastModifiedBy>
  <cp:revision>61</cp:revision>
  <dcterms:created xsi:type="dcterms:W3CDTF">2016-01-29T14:13:00Z</dcterms:created>
  <dcterms:modified xsi:type="dcterms:W3CDTF">2016-06-24T09:41:00Z</dcterms:modified>
</cp:coreProperties>
</file>