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EE" w:rsidRPr="005B14A5" w:rsidRDefault="00AD34EE" w:rsidP="005B14A5">
      <w:pPr>
        <w:pStyle w:val="Ttulo1"/>
        <w:spacing w:before="0"/>
        <w:jc w:val="center"/>
        <w:rPr>
          <w:rFonts w:ascii="Times New Roman" w:hAnsi="Times New Roman" w:cs="Times New Roman"/>
          <w:color w:val="2F5496" w:themeColor="accent5" w:themeShade="BF"/>
          <w:sz w:val="24"/>
          <w:szCs w:val="24"/>
          <w:lang w:val="es-ES_tradnl"/>
        </w:rPr>
      </w:pPr>
      <w:bookmarkStart w:id="0" w:name="_Toc481555913"/>
    </w:p>
    <w:bookmarkEnd w:id="0"/>
    <w:p w:rsidR="00222E48" w:rsidRPr="005B14A5" w:rsidRDefault="00222E48" w:rsidP="00055CB4">
      <w:pPr>
        <w:jc w:val="center"/>
        <w:rPr>
          <w:b/>
          <w:lang w:val="es-ES_tradnl"/>
        </w:rPr>
      </w:pPr>
      <w:r w:rsidRPr="005B14A5">
        <w:rPr>
          <w:b/>
          <w:lang w:val="es-ES_tradnl"/>
        </w:rPr>
        <w:t>BREXIT</w:t>
      </w:r>
      <w:r w:rsidR="00055CB4">
        <w:rPr>
          <w:b/>
          <w:lang w:val="es-ES_tradnl"/>
        </w:rPr>
        <w:t xml:space="preserve"> y posibles implicaciones para Navarra</w:t>
      </w:r>
    </w:p>
    <w:p w:rsidR="00222E48" w:rsidRDefault="00222E48" w:rsidP="005B14A5">
      <w:pPr>
        <w:jc w:val="both"/>
        <w:rPr>
          <w:b/>
          <w:lang w:val="es-ES_tradnl"/>
        </w:rPr>
      </w:pPr>
    </w:p>
    <w:p w:rsidR="00055CB4" w:rsidRPr="005B14A5" w:rsidRDefault="00055CB4" w:rsidP="005B14A5">
      <w:pPr>
        <w:jc w:val="both"/>
        <w:rPr>
          <w:b/>
          <w:lang w:val="es-ES_tradnl"/>
        </w:rPr>
      </w:pPr>
    </w:p>
    <w:p w:rsidR="00055CB4" w:rsidRPr="00642DAE" w:rsidRDefault="00055CB4" w:rsidP="00055CB4">
      <w:pPr>
        <w:rPr>
          <w:lang w:val="es-ES"/>
        </w:rPr>
      </w:pPr>
    </w:p>
    <w:p w:rsidR="00055CB4" w:rsidRPr="00642DAE" w:rsidRDefault="00055CB4" w:rsidP="00055CB4">
      <w:pPr>
        <w:pStyle w:val="TtuloTDC"/>
        <w:spacing w:before="0" w:line="240" w:lineRule="auto"/>
        <w:rPr>
          <w:lang w:val="es-ES"/>
        </w:rPr>
      </w:pPr>
      <w:r w:rsidRPr="00642DAE">
        <w:rPr>
          <w:lang w:val="es-ES"/>
        </w:rPr>
        <w:t>Contenido</w:t>
      </w:r>
    </w:p>
    <w:p w:rsidR="00055CB4" w:rsidRPr="00642DAE" w:rsidRDefault="00055CB4" w:rsidP="00055CB4">
      <w:pPr>
        <w:pStyle w:val="TDC1"/>
        <w:spacing w:before="0" w:after="0"/>
        <w:rPr>
          <w:rFonts w:ascii="Times New Roman" w:hAnsi="Times New Roman"/>
          <w:szCs w:val="20"/>
          <w:lang w:val="es-ES" w:eastAsia="es-ES"/>
        </w:rPr>
      </w:pPr>
    </w:p>
    <w:p w:rsidR="00055CB4" w:rsidRDefault="00055CB4">
      <w:pPr>
        <w:pStyle w:val="TDC1"/>
        <w:rPr>
          <w:rFonts w:asciiTheme="minorHAnsi" w:eastAsiaTheme="minorEastAsia" w:hAnsiTheme="minorHAnsi" w:cstheme="minorBidi"/>
          <w:b w:val="0"/>
          <w:bCs w:val="0"/>
          <w:caps w:val="0"/>
          <w:sz w:val="22"/>
          <w:szCs w:val="22"/>
          <w:lang w:val="es-ES" w:eastAsia="es-ES"/>
        </w:rPr>
      </w:pPr>
      <w:r w:rsidRPr="00642DAE">
        <w:rPr>
          <w:rFonts w:ascii="Times New Roman" w:hAnsi="Times New Roman"/>
          <w:szCs w:val="20"/>
          <w:lang w:val="es-ES" w:eastAsia="es-ES"/>
        </w:rPr>
        <w:fldChar w:fldCharType="begin"/>
      </w:r>
      <w:r w:rsidRPr="00642DAE">
        <w:rPr>
          <w:rFonts w:ascii="Times New Roman" w:hAnsi="Times New Roman"/>
          <w:lang w:val="es-ES"/>
        </w:rPr>
        <w:instrText xml:space="preserve"> TOC \o "1-3" \h \z \u </w:instrText>
      </w:r>
      <w:r w:rsidRPr="00642DAE">
        <w:rPr>
          <w:rFonts w:ascii="Times New Roman" w:hAnsi="Times New Roman"/>
          <w:szCs w:val="20"/>
          <w:lang w:val="es-ES" w:eastAsia="es-ES"/>
        </w:rPr>
        <w:fldChar w:fldCharType="separate"/>
      </w:r>
      <w:hyperlink w:anchor="_Toc481680175" w:history="1">
        <w:r w:rsidRPr="00BC693C">
          <w:rPr>
            <w:rStyle w:val="Hipervnculo"/>
            <w:lang w:val="es-ES_tradnl"/>
          </w:rPr>
          <w:t>Introducción</w:t>
        </w:r>
        <w:r>
          <w:rPr>
            <w:webHidden/>
          </w:rPr>
          <w:tab/>
        </w:r>
        <w:r>
          <w:rPr>
            <w:webHidden/>
          </w:rPr>
          <w:fldChar w:fldCharType="begin"/>
        </w:r>
        <w:r>
          <w:rPr>
            <w:webHidden/>
          </w:rPr>
          <w:instrText xml:space="preserve"> PAGEREF _Toc481680175 \h </w:instrText>
        </w:r>
        <w:r>
          <w:rPr>
            <w:webHidden/>
          </w:rPr>
        </w:r>
        <w:r>
          <w:rPr>
            <w:webHidden/>
          </w:rPr>
          <w:fldChar w:fldCharType="separate"/>
        </w:r>
        <w:r w:rsidR="001E640F">
          <w:rPr>
            <w:webHidden/>
          </w:rPr>
          <w:t>1</w:t>
        </w:r>
        <w:r>
          <w:rPr>
            <w:webHidden/>
          </w:rPr>
          <w:fldChar w:fldCharType="end"/>
        </w:r>
      </w:hyperlink>
    </w:p>
    <w:p w:rsidR="00055CB4" w:rsidRDefault="00055CB4">
      <w:pPr>
        <w:pStyle w:val="TDC1"/>
        <w:rPr>
          <w:rFonts w:asciiTheme="minorHAnsi" w:eastAsiaTheme="minorEastAsia" w:hAnsiTheme="minorHAnsi" w:cstheme="minorBidi"/>
          <w:b w:val="0"/>
          <w:bCs w:val="0"/>
          <w:caps w:val="0"/>
          <w:sz w:val="22"/>
          <w:szCs w:val="22"/>
          <w:lang w:val="es-ES" w:eastAsia="es-ES"/>
        </w:rPr>
      </w:pPr>
      <w:hyperlink w:anchor="_Toc481680176" w:history="1">
        <w:r w:rsidRPr="00BC693C">
          <w:rPr>
            <w:rStyle w:val="Hipervnculo"/>
            <w:lang w:val="es-ES_tradnl"/>
          </w:rPr>
          <w:t>Posibles repercusiones para Navarra</w:t>
        </w:r>
        <w:r>
          <w:rPr>
            <w:webHidden/>
          </w:rPr>
          <w:tab/>
        </w:r>
        <w:r>
          <w:rPr>
            <w:webHidden/>
          </w:rPr>
          <w:fldChar w:fldCharType="begin"/>
        </w:r>
        <w:r>
          <w:rPr>
            <w:webHidden/>
          </w:rPr>
          <w:instrText xml:space="preserve"> PAGEREF _Toc481680176 \h </w:instrText>
        </w:r>
        <w:r>
          <w:rPr>
            <w:webHidden/>
          </w:rPr>
        </w:r>
        <w:r>
          <w:rPr>
            <w:webHidden/>
          </w:rPr>
          <w:fldChar w:fldCharType="separate"/>
        </w:r>
        <w:r w:rsidR="001E640F">
          <w:rPr>
            <w:webHidden/>
          </w:rPr>
          <w:t>1</w:t>
        </w:r>
        <w:r>
          <w:rPr>
            <w:webHidden/>
          </w:rPr>
          <w:fldChar w:fldCharType="end"/>
        </w:r>
      </w:hyperlink>
    </w:p>
    <w:p w:rsidR="00055CB4" w:rsidRDefault="00055CB4">
      <w:pPr>
        <w:pStyle w:val="TDC1"/>
        <w:rPr>
          <w:rFonts w:asciiTheme="minorHAnsi" w:eastAsiaTheme="minorEastAsia" w:hAnsiTheme="minorHAnsi" w:cstheme="minorBidi"/>
          <w:b w:val="0"/>
          <w:bCs w:val="0"/>
          <w:caps w:val="0"/>
          <w:sz w:val="22"/>
          <w:szCs w:val="22"/>
          <w:lang w:val="es-ES" w:eastAsia="es-ES"/>
        </w:rPr>
      </w:pPr>
      <w:hyperlink w:anchor="_Toc481680177" w:history="1">
        <w:r w:rsidRPr="00BC693C">
          <w:rPr>
            <w:rStyle w:val="Hipervnculo"/>
            <w:lang w:val="es-ES_tradnl"/>
          </w:rPr>
          <w:t>Calendario y negociación del Brexit</w:t>
        </w:r>
        <w:r>
          <w:rPr>
            <w:webHidden/>
          </w:rPr>
          <w:tab/>
        </w:r>
        <w:r>
          <w:rPr>
            <w:webHidden/>
          </w:rPr>
          <w:fldChar w:fldCharType="begin"/>
        </w:r>
        <w:r>
          <w:rPr>
            <w:webHidden/>
          </w:rPr>
          <w:instrText xml:space="preserve"> PAGEREF _Toc481680177 \h </w:instrText>
        </w:r>
        <w:r>
          <w:rPr>
            <w:webHidden/>
          </w:rPr>
        </w:r>
        <w:r>
          <w:rPr>
            <w:webHidden/>
          </w:rPr>
          <w:fldChar w:fldCharType="separate"/>
        </w:r>
        <w:r w:rsidR="001E640F">
          <w:rPr>
            <w:webHidden/>
          </w:rPr>
          <w:t>4</w:t>
        </w:r>
        <w:r>
          <w:rPr>
            <w:webHidden/>
          </w:rPr>
          <w:fldChar w:fldCharType="end"/>
        </w:r>
      </w:hyperlink>
    </w:p>
    <w:p w:rsidR="00055CB4" w:rsidRPr="00642DAE" w:rsidRDefault="00055CB4" w:rsidP="00055CB4">
      <w:pPr>
        <w:rPr>
          <w:lang w:val="es-ES"/>
        </w:rPr>
      </w:pPr>
      <w:r w:rsidRPr="00642DAE">
        <w:rPr>
          <w:lang w:val="es-ES"/>
        </w:rPr>
        <w:fldChar w:fldCharType="end"/>
      </w:r>
    </w:p>
    <w:p w:rsidR="00BF5E5B" w:rsidRPr="005B14A5" w:rsidRDefault="00BF5E5B" w:rsidP="008C7894">
      <w:pPr>
        <w:pStyle w:val="Ttulo1"/>
        <w:rPr>
          <w:lang w:val="es-ES_tradnl"/>
        </w:rPr>
      </w:pPr>
      <w:bookmarkStart w:id="1" w:name="_Toc481680175"/>
      <w:r>
        <w:rPr>
          <w:lang w:val="es-ES_tradnl"/>
        </w:rPr>
        <w:t>Introducción</w:t>
      </w:r>
      <w:bookmarkStart w:id="2" w:name="_GoBack"/>
      <w:bookmarkEnd w:id="1"/>
      <w:bookmarkEnd w:id="2"/>
    </w:p>
    <w:p w:rsidR="00222E48" w:rsidRPr="005B14A5" w:rsidRDefault="00222E48" w:rsidP="005B14A5">
      <w:pPr>
        <w:jc w:val="both"/>
        <w:rPr>
          <w:b/>
          <w:lang w:val="es-ES_tradnl"/>
        </w:rPr>
      </w:pPr>
    </w:p>
    <w:p w:rsidR="00FD73F2" w:rsidRPr="005B14A5" w:rsidRDefault="00F46F36" w:rsidP="005B14A5">
      <w:pPr>
        <w:jc w:val="both"/>
        <w:rPr>
          <w:lang w:val="es-ES_tradnl"/>
        </w:rPr>
      </w:pPr>
      <w:r w:rsidRPr="005B14A5">
        <w:rPr>
          <w:lang w:val="es-ES_tradnl"/>
        </w:rPr>
        <w:t xml:space="preserve">El Consejo Europeo recibió, el 29 de marzo de 2017, la notificación del Reino Unido de su intención de retirarse de la Unión Europea y </w:t>
      </w:r>
      <w:proofErr w:type="spellStart"/>
      <w:r w:rsidRPr="005B14A5">
        <w:rPr>
          <w:lang w:val="es-ES_tradnl"/>
        </w:rPr>
        <w:t>Euratom</w:t>
      </w:r>
      <w:proofErr w:type="spellEnd"/>
      <w:r w:rsidRPr="005B14A5">
        <w:rPr>
          <w:lang w:val="es-ES_tradnl"/>
        </w:rPr>
        <w:t>, lo que permite que se abran las negociaciones tal como prevé el Tratado</w:t>
      </w:r>
      <w:r w:rsidRPr="005B14A5">
        <w:rPr>
          <w:rStyle w:val="Refdenotaalpie"/>
          <w:lang w:val="es-ES_tradnl"/>
        </w:rPr>
        <w:footnoteReference w:id="1"/>
      </w:r>
      <w:r w:rsidR="00FD73F2" w:rsidRPr="005B14A5">
        <w:rPr>
          <w:lang w:val="es-ES_tradnl"/>
        </w:rPr>
        <w:t>. El artículo 50 del Tratado de la UE establece el procedimiento por el que un Estado miembro se puede retirar de la Unión Europea. En este primer momento se han establecido tres grandes etapas para iniciar las negociaciones. En primer lugar la celebración del Consejo Extraordinario que tuvo lugar el pasado 29 de abril, que fijó una serie de orientaciones para “una retirada ordenada” del RU de la UE. En segundo lugar, la Comisión Europea ha presentado una recomendación sobre la apertura de negociaciones</w:t>
      </w:r>
      <w:r w:rsidR="00222E48" w:rsidRPr="005B14A5">
        <w:rPr>
          <w:rStyle w:val="Refdenotaalpie"/>
          <w:lang w:val="es-ES_tradnl"/>
        </w:rPr>
        <w:footnoteReference w:id="2"/>
      </w:r>
      <w:r w:rsidR="00FD73F2" w:rsidRPr="005B14A5">
        <w:rPr>
          <w:lang w:val="es-ES_tradnl"/>
        </w:rPr>
        <w:t xml:space="preserve">. </w:t>
      </w:r>
      <w:r w:rsidR="00FD73F2" w:rsidRPr="005B14A5">
        <w:rPr>
          <w:color w:val="000000"/>
          <w:shd w:val="clear" w:color="auto" w:fill="FFFFFF"/>
          <w:lang w:val="es-ES_tradnl"/>
        </w:rPr>
        <w:t>El Consejo deberá autorizar el inicio de las negociaciones mediante la adopción de una serie de directrices de negociación por mayoría cualificada reforzada</w:t>
      </w:r>
      <w:r w:rsidR="00FD73F2" w:rsidRPr="005B14A5">
        <w:rPr>
          <w:lang w:val="es-ES_tradnl"/>
        </w:rPr>
        <w:t xml:space="preserve">. Se prevé que el proceso negociador dure 18 meses, transcurridos los cuales </w:t>
      </w:r>
      <w:r w:rsidR="00222E48" w:rsidRPr="005B14A5">
        <w:rPr>
          <w:lang w:val="es-ES_tradnl"/>
        </w:rPr>
        <w:t xml:space="preserve">deberá ratificarse por todas las partes. En cualquier caso, </w:t>
      </w:r>
      <w:r w:rsidR="00222E48" w:rsidRPr="005B14A5">
        <w:rPr>
          <w:color w:val="000000"/>
          <w:shd w:val="clear" w:color="auto" w:fill="FFFFFF"/>
          <w:lang w:val="es-ES_tradnl"/>
        </w:rPr>
        <w:t>Los Tratados de la UE simplemente dejarán de aplicarse al Reino Unido dos años después de la notificación.</w:t>
      </w:r>
    </w:p>
    <w:p w:rsidR="00BF5E5B" w:rsidRPr="00BF5E5B" w:rsidRDefault="00BF5E5B" w:rsidP="00472F14">
      <w:pPr>
        <w:pStyle w:val="Ttulo1"/>
        <w:rPr>
          <w:lang w:val="es-ES_tradnl"/>
        </w:rPr>
      </w:pPr>
      <w:bookmarkStart w:id="3" w:name="_Toc481680176"/>
      <w:r>
        <w:rPr>
          <w:lang w:val="es-ES_tradnl"/>
        </w:rPr>
        <w:t>Posibles r</w:t>
      </w:r>
      <w:r w:rsidRPr="00BF5E5B">
        <w:rPr>
          <w:lang w:val="es-ES_tradnl"/>
        </w:rPr>
        <w:t>epercusi</w:t>
      </w:r>
      <w:r>
        <w:rPr>
          <w:lang w:val="es-ES_tradnl"/>
        </w:rPr>
        <w:t>o</w:t>
      </w:r>
      <w:r w:rsidRPr="00BF5E5B">
        <w:rPr>
          <w:lang w:val="es-ES_tradnl"/>
        </w:rPr>
        <w:t>n</w:t>
      </w:r>
      <w:r>
        <w:rPr>
          <w:lang w:val="es-ES_tradnl"/>
        </w:rPr>
        <w:t>es</w:t>
      </w:r>
      <w:r w:rsidRPr="00BF5E5B">
        <w:rPr>
          <w:lang w:val="es-ES_tradnl"/>
        </w:rPr>
        <w:t xml:space="preserve"> para Navarra</w:t>
      </w:r>
      <w:bookmarkEnd w:id="3"/>
    </w:p>
    <w:p w:rsidR="00BF5E5B" w:rsidRDefault="00BF5E5B" w:rsidP="005B14A5">
      <w:pPr>
        <w:jc w:val="both"/>
        <w:rPr>
          <w:lang w:val="es-ES_tradnl"/>
        </w:rPr>
      </w:pPr>
    </w:p>
    <w:p w:rsidR="00472F14" w:rsidRDefault="00472F14" w:rsidP="005B14A5">
      <w:pPr>
        <w:jc w:val="both"/>
        <w:rPr>
          <w:lang w:val="es-ES_tradnl"/>
        </w:rPr>
      </w:pPr>
      <w:r>
        <w:rPr>
          <w:lang w:val="es-ES_tradnl"/>
        </w:rPr>
        <w:t>Según datos del ICEX, durante 2016 Navarra exportó bienes por valor de 602 millones de euros a RU. Esta cifra, que convierte a este país en el cuarto socio comercial, cobra más relevancia si tenemos en cuenta que Navarra importó bienes por valor de 149 millones de euros, es decir, la balanza comercial con el RU es extremadamente positiva, con un saldo de casi 453 millones de euros.</w:t>
      </w:r>
      <w:r w:rsidR="008E4053">
        <w:rPr>
          <w:lang w:val="es-ES_tradnl"/>
        </w:rPr>
        <w:t xml:space="preserve"> Si bien el volumen total de exportaciones y exportaciones puede sufrir importantes variaciones anuales, lo cierto es que la balanza comercial positiva es una constante durante los últimos 10 años.</w:t>
      </w:r>
      <w:r w:rsidR="00FA53C3">
        <w:rPr>
          <w:lang w:val="es-ES_tradnl"/>
        </w:rPr>
        <w:t xml:space="preserve"> Por señalar un dato, exportamos más a RU que a toda Asia o América latina.</w:t>
      </w:r>
    </w:p>
    <w:p w:rsidR="00472F14" w:rsidRDefault="00472F14" w:rsidP="005B14A5">
      <w:pPr>
        <w:jc w:val="both"/>
        <w:rPr>
          <w:lang w:val="es-ES_tradnl"/>
        </w:rPr>
      </w:pPr>
    </w:p>
    <w:p w:rsidR="00BF5E5B" w:rsidRDefault="00472F14" w:rsidP="005B14A5">
      <w:pPr>
        <w:jc w:val="both"/>
        <w:rPr>
          <w:lang w:val="es-ES_tradnl"/>
        </w:rPr>
      </w:pPr>
      <w:r>
        <w:rPr>
          <w:noProof/>
          <w:lang w:val="es-ES" w:eastAsia="es-ES"/>
        </w:rPr>
        <w:lastRenderedPageBreak/>
        <w:drawing>
          <wp:inline distT="0" distB="0" distL="0" distR="0">
            <wp:extent cx="5391150" cy="1504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504950"/>
                    </a:xfrm>
                    <a:prstGeom prst="rect">
                      <a:avLst/>
                    </a:prstGeom>
                    <a:noFill/>
                    <a:ln>
                      <a:noFill/>
                    </a:ln>
                  </pic:spPr>
                </pic:pic>
              </a:graphicData>
            </a:graphic>
          </wp:inline>
        </w:drawing>
      </w:r>
      <w:r>
        <w:rPr>
          <w:lang w:val="es-ES_tradnl"/>
        </w:rPr>
        <w:t xml:space="preserve"> </w:t>
      </w:r>
    </w:p>
    <w:p w:rsidR="00BF5E5B" w:rsidRPr="006E7BDA" w:rsidRDefault="006E7BDA" w:rsidP="006E7BDA">
      <w:pPr>
        <w:ind w:firstLine="708"/>
        <w:jc w:val="both"/>
        <w:rPr>
          <w:i/>
          <w:sz w:val="20"/>
          <w:szCs w:val="20"/>
          <w:lang w:val="es-ES_tradnl"/>
        </w:rPr>
      </w:pPr>
      <w:r w:rsidRPr="006E7BDA">
        <w:rPr>
          <w:i/>
          <w:sz w:val="20"/>
          <w:szCs w:val="20"/>
          <w:lang w:val="es-ES_tradnl"/>
        </w:rPr>
        <w:t>Balanza Comercial con el RU</w:t>
      </w:r>
    </w:p>
    <w:p w:rsidR="006E7BDA" w:rsidRDefault="006E7BDA" w:rsidP="005B14A5">
      <w:pPr>
        <w:jc w:val="both"/>
        <w:rPr>
          <w:lang w:val="es-ES_tradnl"/>
        </w:rPr>
      </w:pPr>
    </w:p>
    <w:p w:rsidR="006E7BDA" w:rsidRDefault="008E4053" w:rsidP="006E7BDA">
      <w:pPr>
        <w:jc w:val="both"/>
        <w:rPr>
          <w:lang w:val="es-ES_tradnl"/>
        </w:rPr>
      </w:pPr>
      <w:r>
        <w:rPr>
          <w:lang w:val="es-ES_tradnl"/>
        </w:rPr>
        <w:t xml:space="preserve">Por sectores, </w:t>
      </w:r>
      <w:r w:rsidR="00E70994">
        <w:rPr>
          <w:lang w:val="es-ES_tradnl"/>
        </w:rPr>
        <w:t xml:space="preserve">durante 2016 </w:t>
      </w:r>
      <w:r>
        <w:rPr>
          <w:lang w:val="es-ES_tradnl"/>
        </w:rPr>
        <w:t>las exportaciones se encuentran muy focalizadas en agroalimentarios y bebidas (207 M €) y en productos industriales y tecnología (385 M €)</w:t>
      </w:r>
      <w:r w:rsidR="00E70994">
        <w:rPr>
          <w:lang w:val="es-ES_tradnl"/>
        </w:rPr>
        <w:t>. De este segundo capítulo hay que destacar los 161 M € de exportaciones del sector de la automoción</w:t>
      </w:r>
      <w:r w:rsidR="006E7BDA">
        <w:rPr>
          <w:lang w:val="es-ES_tradnl"/>
        </w:rPr>
        <w:t xml:space="preserve"> y otros 63 M € en </w:t>
      </w:r>
      <w:r w:rsidR="006E7BDA" w:rsidRPr="006E7BDA">
        <w:rPr>
          <w:lang w:val="es-ES_tradnl"/>
        </w:rPr>
        <w:t>equipos,</w:t>
      </w:r>
      <w:r w:rsidR="006E7BDA">
        <w:rPr>
          <w:lang w:val="es-ES_tradnl"/>
        </w:rPr>
        <w:t xml:space="preserve"> </w:t>
      </w:r>
      <w:r w:rsidR="006E7BDA" w:rsidRPr="006E7BDA">
        <w:rPr>
          <w:lang w:val="es-ES_tradnl"/>
        </w:rPr>
        <w:t>componentes y accesorios de</w:t>
      </w:r>
      <w:r w:rsidR="006E7BDA">
        <w:rPr>
          <w:lang w:val="es-ES_tradnl"/>
        </w:rPr>
        <w:t xml:space="preserve"> </w:t>
      </w:r>
      <w:r w:rsidR="006E7BDA" w:rsidRPr="006E7BDA">
        <w:rPr>
          <w:lang w:val="es-ES_tradnl"/>
        </w:rPr>
        <w:t>automoción</w:t>
      </w:r>
      <w:r w:rsidR="006E7BDA">
        <w:rPr>
          <w:lang w:val="es-ES_tradnl"/>
        </w:rPr>
        <w:t xml:space="preserve">. </w:t>
      </w:r>
    </w:p>
    <w:p w:rsidR="006E7BDA" w:rsidRDefault="006E7BDA" w:rsidP="006E7BDA">
      <w:pPr>
        <w:jc w:val="both"/>
        <w:rPr>
          <w:lang w:val="es-ES_tradnl"/>
        </w:rPr>
      </w:pPr>
    </w:p>
    <w:p w:rsidR="008E4053" w:rsidRDefault="006E7BDA" w:rsidP="006E7BDA">
      <w:pPr>
        <w:jc w:val="both"/>
        <w:rPr>
          <w:lang w:val="es-ES_tradnl"/>
        </w:rPr>
      </w:pPr>
      <w:r>
        <w:rPr>
          <w:noProof/>
          <w:lang w:val="es-ES" w:eastAsia="es-ES"/>
        </w:rPr>
        <w:drawing>
          <wp:inline distT="0" distB="0" distL="0" distR="0">
            <wp:extent cx="5400675" cy="1162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162050"/>
                    </a:xfrm>
                    <a:prstGeom prst="rect">
                      <a:avLst/>
                    </a:prstGeom>
                    <a:noFill/>
                    <a:ln>
                      <a:noFill/>
                    </a:ln>
                  </pic:spPr>
                </pic:pic>
              </a:graphicData>
            </a:graphic>
          </wp:inline>
        </w:drawing>
      </w:r>
      <w:r w:rsidR="008E4053">
        <w:rPr>
          <w:lang w:val="es-ES_tradnl"/>
        </w:rPr>
        <w:t xml:space="preserve"> </w:t>
      </w:r>
    </w:p>
    <w:p w:rsidR="006E7BDA" w:rsidRDefault="006E7BDA" w:rsidP="006E7BDA">
      <w:pPr>
        <w:ind w:firstLine="708"/>
        <w:jc w:val="both"/>
        <w:rPr>
          <w:i/>
          <w:sz w:val="20"/>
          <w:szCs w:val="20"/>
          <w:lang w:val="es-ES_tradnl"/>
        </w:rPr>
      </w:pPr>
      <w:r w:rsidRPr="006E7BDA">
        <w:rPr>
          <w:i/>
          <w:sz w:val="20"/>
          <w:szCs w:val="20"/>
          <w:lang w:val="es-ES_tradnl"/>
        </w:rPr>
        <w:t>Evolución de las exportaciones (ICEX)</w:t>
      </w:r>
    </w:p>
    <w:p w:rsidR="006E7BDA" w:rsidRDefault="006E7BDA" w:rsidP="006E7BDA">
      <w:pPr>
        <w:jc w:val="both"/>
        <w:rPr>
          <w:i/>
          <w:sz w:val="20"/>
          <w:szCs w:val="20"/>
          <w:lang w:val="es-ES_tradnl"/>
        </w:rPr>
      </w:pPr>
    </w:p>
    <w:p w:rsidR="006E7BDA" w:rsidRDefault="006E7BDA" w:rsidP="006E7BDA">
      <w:pPr>
        <w:jc w:val="both"/>
        <w:rPr>
          <w:lang w:val="es-ES_tradnl"/>
        </w:rPr>
      </w:pPr>
      <w:r>
        <w:rPr>
          <w:lang w:val="es-ES_tradnl"/>
        </w:rPr>
        <w:t>E</w:t>
      </w:r>
      <w:r w:rsidR="00FA53C3">
        <w:rPr>
          <w:lang w:val="es-ES_tradnl"/>
        </w:rPr>
        <w:t>n cua</w:t>
      </w:r>
      <w:r>
        <w:rPr>
          <w:lang w:val="es-ES_tradnl"/>
        </w:rPr>
        <w:t xml:space="preserve">nto a los productos importados, hay que destacar </w:t>
      </w:r>
      <w:r w:rsidR="00FA53C3">
        <w:rPr>
          <w:lang w:val="es-ES_tradnl"/>
        </w:rPr>
        <w:t>los productos químicos, que representan 57 de los 149 M € totales, seguidos a su vez por otros casi 20 M € de componentes de automoción.</w:t>
      </w:r>
    </w:p>
    <w:p w:rsidR="00FA53C3" w:rsidRDefault="00FA53C3" w:rsidP="006E7BDA">
      <w:pPr>
        <w:jc w:val="both"/>
        <w:rPr>
          <w:lang w:val="es-ES_tradnl"/>
        </w:rPr>
      </w:pPr>
    </w:p>
    <w:p w:rsidR="00FA53C3" w:rsidRPr="003F718F" w:rsidRDefault="00FA53C3" w:rsidP="006E7BDA">
      <w:pPr>
        <w:jc w:val="both"/>
        <w:rPr>
          <w:lang w:val="es-ES_tradnl"/>
        </w:rPr>
      </w:pPr>
      <w:r>
        <w:rPr>
          <w:lang w:val="es-ES_tradnl"/>
        </w:rPr>
        <w:t xml:space="preserve">Todo ello hace que seamos una de las CCAA más sensibles con este mercado, puesto que </w:t>
      </w:r>
      <w:r w:rsidRPr="003F718F">
        <w:rPr>
          <w:lang w:val="es-ES_tradnl"/>
        </w:rPr>
        <w:t xml:space="preserve">las exportaciones de Navarra representan el 3.1% del total de las exportaciones del Estado español al RU, </w:t>
      </w:r>
      <w:r w:rsidR="00ED60DC" w:rsidRPr="003F718F">
        <w:rPr>
          <w:lang w:val="es-ES_tradnl"/>
        </w:rPr>
        <w:t>ya que representamos sólo el 1,3% de la población.</w:t>
      </w:r>
    </w:p>
    <w:p w:rsidR="003F718F" w:rsidRDefault="003F718F" w:rsidP="006E7BDA">
      <w:pPr>
        <w:jc w:val="both"/>
        <w:rPr>
          <w:lang w:val="es-ES_tradnl"/>
        </w:rPr>
      </w:pPr>
    </w:p>
    <w:p w:rsidR="003F718F" w:rsidRDefault="003F718F" w:rsidP="006E7BDA">
      <w:pPr>
        <w:jc w:val="both"/>
        <w:rPr>
          <w:color w:val="000000"/>
          <w:lang w:val="es-ES_tradnl"/>
        </w:rPr>
      </w:pPr>
      <w:r w:rsidRPr="003F718F">
        <w:rPr>
          <w:color w:val="000000"/>
          <w:lang w:val="es-ES_tradnl"/>
        </w:rPr>
        <w:t xml:space="preserve">Richard </w:t>
      </w:r>
      <w:proofErr w:type="spellStart"/>
      <w:r w:rsidRPr="003F718F">
        <w:rPr>
          <w:color w:val="000000"/>
          <w:lang w:val="es-ES_tradnl"/>
        </w:rPr>
        <w:t>Corbett</w:t>
      </w:r>
      <w:proofErr w:type="spellEnd"/>
      <w:r w:rsidRPr="003F718F">
        <w:rPr>
          <w:color w:val="000000"/>
          <w:lang w:val="es-ES_tradnl"/>
        </w:rPr>
        <w:t xml:space="preserve">, diputado laborista al Parlamento Europeo, afirma que, en ausencia de un ALC entre la UE y el Reino Unido tras la retirada del Reino Unido de la UE, </w:t>
      </w:r>
      <w:r>
        <w:rPr>
          <w:color w:val="000000"/>
          <w:lang w:val="es-ES_tradnl"/>
        </w:rPr>
        <w:t>las repercusiones serán considerables</w:t>
      </w:r>
      <w:r w:rsidRPr="003F718F">
        <w:rPr>
          <w:color w:val="000000"/>
          <w:lang w:val="es-ES_tradnl"/>
        </w:rPr>
        <w:t xml:space="preserve">, puesto que la UE está legalmente obligada con arreglo a las normas de la OMC a aplicar el arancel exterior común al </w:t>
      </w:r>
      <w:r>
        <w:rPr>
          <w:color w:val="000000"/>
          <w:lang w:val="es-ES_tradnl"/>
        </w:rPr>
        <w:t>RU</w:t>
      </w:r>
      <w:r w:rsidRPr="003F718F">
        <w:rPr>
          <w:color w:val="000000"/>
          <w:lang w:val="es-ES_tradnl"/>
        </w:rPr>
        <w:t xml:space="preserve">, lo que daría lugar </w:t>
      </w:r>
      <w:r w:rsidRPr="003F718F">
        <w:rPr>
          <w:b/>
          <w:color w:val="000000"/>
          <w:lang w:val="es-ES_tradnl"/>
        </w:rPr>
        <w:t>a aranceles inmediatos sobre bienes que irían desde el 10 % en el caso de los coches, el 12 % en el de la ropa y el 21 % en el de la cerveza y bebidas alcohólicas hasta el 29 % en el del chocolate y otros productos de confitería</w:t>
      </w:r>
      <w:r>
        <w:rPr>
          <w:rStyle w:val="Refdenotaalpie"/>
          <w:b/>
          <w:color w:val="000000"/>
          <w:lang w:val="es-ES_tradnl"/>
        </w:rPr>
        <w:footnoteReference w:id="3"/>
      </w:r>
      <w:r w:rsidRPr="003F718F">
        <w:rPr>
          <w:color w:val="000000"/>
          <w:lang w:val="es-ES_tradnl"/>
        </w:rPr>
        <w:t>. También considera que las negociaciones entre la UE y el Reino Unido no serán sencillas, puesto que cualquier acuerdo sobre la futura relación del Reino Unido con la UE llevará tiempo y, por lo tanto, hace hincapié en la necesidad de un «</w:t>
      </w:r>
      <w:r w:rsidRPr="003F718F">
        <w:rPr>
          <w:rStyle w:val="normalchar"/>
          <w:i/>
          <w:iCs/>
          <w:color w:val="000000"/>
          <w:lang w:val="es-ES_tradnl"/>
        </w:rPr>
        <w:t>arreglo conforme al cual el acuerdo de "divorcio" en virtud del artículo 50 establezca una fecha posterior para la retirada e incluya una cláusula permisiva que permita negociar un ALC (y acuerdos comerciales con terceros países) entretanto»</w:t>
      </w:r>
      <w:r w:rsidRPr="003F718F">
        <w:rPr>
          <w:color w:val="000000"/>
          <w:lang w:val="es-ES_tradnl"/>
        </w:rPr>
        <w:t>.</w:t>
      </w:r>
      <w:r w:rsidRPr="003F718F">
        <w:rPr>
          <w:rStyle w:val="apple-converted-space"/>
          <w:i/>
          <w:iCs/>
          <w:color w:val="000000"/>
          <w:lang w:val="es-ES_tradnl"/>
        </w:rPr>
        <w:t> </w:t>
      </w:r>
      <w:r w:rsidRPr="003F718F">
        <w:rPr>
          <w:color w:val="000000"/>
          <w:lang w:val="es-ES_tradnl"/>
        </w:rPr>
        <w:t xml:space="preserve">Alternativamente, podría buscarse un acuerdo provisional que prevea </w:t>
      </w:r>
      <w:r w:rsidRPr="003F718F">
        <w:rPr>
          <w:color w:val="000000"/>
          <w:lang w:val="es-ES_tradnl"/>
        </w:rPr>
        <w:lastRenderedPageBreak/>
        <w:t>un período de transición que prolongue la adhesión al menos al mercado interior o la unión aduanera con la misma finalidad.</w:t>
      </w:r>
    </w:p>
    <w:p w:rsidR="003A18C3" w:rsidRDefault="003A18C3" w:rsidP="006E7BDA">
      <w:pPr>
        <w:jc w:val="both"/>
        <w:rPr>
          <w:color w:val="000000"/>
          <w:lang w:val="es-ES_tradnl"/>
        </w:rPr>
      </w:pPr>
    </w:p>
    <w:p w:rsidR="003A18C3" w:rsidRDefault="003A18C3" w:rsidP="006E7BDA">
      <w:pPr>
        <w:jc w:val="both"/>
        <w:rPr>
          <w:lang w:val="es-ES_tradnl"/>
        </w:rPr>
      </w:pPr>
      <w:r w:rsidRPr="001162A5">
        <w:rPr>
          <w:lang w:val="es-ES_tradnl"/>
        </w:rPr>
        <w:t>Si el Reino Unido abandona la unión aduanera de la UE y opta por un acuerdo de libre comercio (ALC) con la Unión, como ha dejado claro el Gobierno británico, el futuro acuerdo exigirá controles aduaneros para determinar dónde tiene su origen un bien, sobre la base de las normas de origen de la UE. Además, si el Reino Unido abandona la unión aduanera de la UE, en principio tendría que haber controles en la frontera entre Irlanda del Norte y la República de Irlanda, porque dejarían de aplicar la misma legislación comercial con el mundo exterior</w:t>
      </w:r>
      <w:r w:rsidR="00A51B56">
        <w:rPr>
          <w:lang w:val="es-ES_tradnl"/>
        </w:rPr>
        <w:t>.</w:t>
      </w:r>
    </w:p>
    <w:p w:rsidR="008C7894" w:rsidRDefault="008C7894" w:rsidP="006E7BDA">
      <w:pPr>
        <w:jc w:val="both"/>
        <w:rPr>
          <w:lang w:val="es-ES_tradnl"/>
        </w:rPr>
      </w:pPr>
    </w:p>
    <w:p w:rsidR="008C7894" w:rsidRPr="005E6E56" w:rsidRDefault="008C7894" w:rsidP="008C7894">
      <w:pPr>
        <w:rPr>
          <w:lang w:val="es-ES_tradnl"/>
        </w:rPr>
      </w:pPr>
      <w:r>
        <w:rPr>
          <w:lang w:val="es-ES_tradnl"/>
        </w:rPr>
        <w:t>Las</w:t>
      </w:r>
      <w:r w:rsidRPr="005E6E56">
        <w:rPr>
          <w:lang w:val="es-ES_tradnl"/>
        </w:rPr>
        <w:t xml:space="preserve"> </w:t>
      </w:r>
      <w:r>
        <w:rPr>
          <w:lang w:val="es-ES_tradnl"/>
        </w:rPr>
        <w:t>i</w:t>
      </w:r>
      <w:r w:rsidRPr="005E6E56">
        <w:rPr>
          <w:lang w:val="es-ES_tradnl"/>
        </w:rPr>
        <w:t>mplicaciones</w:t>
      </w:r>
      <w:r w:rsidRPr="005E6E56">
        <w:rPr>
          <w:color w:val="2F2F2F"/>
          <w:lang w:val="es-ES_tradnl"/>
        </w:rPr>
        <w:t xml:space="preserve"> de las distintas opciones para la futura relación entre el Reino Unido y la UE</w:t>
      </w:r>
      <w:r>
        <w:rPr>
          <w:color w:val="2F2F2F"/>
          <w:lang w:val="es-ES_tradnl"/>
        </w:rPr>
        <w:t xml:space="preserve"> varían como se puede comprobar en el cuadro. La salida del RU puede ser “dura” o “blanda” según diferentes modelos que existen actualmente, es decir, el acuerdo con la EFTA (Noruega, Islandia o Liechtenstein) o simplemente aplicar las normas de la OMC (en el supuesto de que fracasen las negociaciones).</w:t>
      </w:r>
    </w:p>
    <w:p w:rsidR="008C7894" w:rsidRDefault="008C7894" w:rsidP="006E7BDA">
      <w:pPr>
        <w:jc w:val="both"/>
        <w:rPr>
          <w:lang w:val="es-ES_tradnl"/>
        </w:rPr>
      </w:pPr>
    </w:p>
    <w:p w:rsidR="008C7894" w:rsidRDefault="008C7894" w:rsidP="006E7BDA">
      <w:pPr>
        <w:jc w:val="both"/>
        <w:rPr>
          <w:lang w:val="es-ES_tradnl"/>
        </w:rPr>
      </w:pPr>
      <w:r w:rsidRPr="001162A5">
        <w:rPr>
          <w:noProof/>
          <w:color w:val="2F2F2F"/>
        </w:rPr>
        <w:drawing>
          <wp:inline distT="0" distB="0" distL="0" distR="0" wp14:anchorId="78D3DDA5" wp14:editId="72EB0AA2">
            <wp:extent cx="5400040" cy="3487141"/>
            <wp:effectExtent l="0" t="0" r="0" b="0"/>
            <wp:docPr id="9" name="Picture 9"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487141"/>
                    </a:xfrm>
                    <a:prstGeom prst="rect">
                      <a:avLst/>
                    </a:prstGeom>
                    <a:noFill/>
                    <a:ln>
                      <a:noFill/>
                    </a:ln>
                  </pic:spPr>
                </pic:pic>
              </a:graphicData>
            </a:graphic>
          </wp:inline>
        </w:drawing>
      </w:r>
    </w:p>
    <w:p w:rsidR="008C7894" w:rsidRDefault="008C7894" w:rsidP="008C7894">
      <w:pPr>
        <w:jc w:val="both"/>
        <w:rPr>
          <w:sz w:val="20"/>
          <w:szCs w:val="20"/>
          <w:lang w:val="es-ES_tradnl"/>
        </w:rPr>
      </w:pPr>
      <w:r w:rsidRPr="00584889">
        <w:rPr>
          <w:sz w:val="20"/>
          <w:szCs w:val="20"/>
          <w:lang w:val="es-ES_tradnl"/>
        </w:rPr>
        <w:t>Fuente: SAPIR, André, «</w:t>
      </w:r>
      <w:proofErr w:type="spellStart"/>
      <w:r w:rsidRPr="00584889">
        <w:rPr>
          <w:sz w:val="20"/>
          <w:szCs w:val="20"/>
          <w:lang w:val="es-ES_tradnl"/>
        </w:rPr>
        <w:t>Beyond</w:t>
      </w:r>
      <w:proofErr w:type="spellEnd"/>
      <w:r w:rsidRPr="00584889">
        <w:rPr>
          <w:sz w:val="20"/>
          <w:szCs w:val="20"/>
          <w:lang w:val="es-ES_tradnl"/>
        </w:rPr>
        <w:t xml:space="preserve"> </w:t>
      </w:r>
      <w:proofErr w:type="spellStart"/>
      <w:r w:rsidRPr="00584889">
        <w:rPr>
          <w:sz w:val="20"/>
          <w:szCs w:val="20"/>
          <w:lang w:val="es-ES_tradnl"/>
        </w:rPr>
        <w:t>hard</w:t>
      </w:r>
      <w:proofErr w:type="spellEnd"/>
      <w:r w:rsidRPr="00584889">
        <w:rPr>
          <w:sz w:val="20"/>
          <w:szCs w:val="20"/>
          <w:lang w:val="es-ES_tradnl"/>
        </w:rPr>
        <w:t xml:space="preserve">, </w:t>
      </w:r>
      <w:proofErr w:type="spellStart"/>
      <w:r w:rsidRPr="00584889">
        <w:rPr>
          <w:sz w:val="20"/>
          <w:szCs w:val="20"/>
          <w:lang w:val="es-ES_tradnl"/>
        </w:rPr>
        <w:t>soft</w:t>
      </w:r>
      <w:proofErr w:type="spellEnd"/>
      <w:r w:rsidRPr="00584889">
        <w:rPr>
          <w:sz w:val="20"/>
          <w:szCs w:val="20"/>
          <w:lang w:val="es-ES_tradnl"/>
        </w:rPr>
        <w:t xml:space="preserve"> and no </w:t>
      </w:r>
      <w:proofErr w:type="spellStart"/>
      <w:r w:rsidRPr="00584889">
        <w:rPr>
          <w:sz w:val="20"/>
          <w:szCs w:val="20"/>
          <w:lang w:val="es-ES_tradnl"/>
        </w:rPr>
        <w:t>Brexit</w:t>
      </w:r>
      <w:proofErr w:type="spellEnd"/>
      <w:r w:rsidRPr="00584889">
        <w:rPr>
          <w:sz w:val="20"/>
          <w:szCs w:val="20"/>
          <w:lang w:val="es-ES_tradnl"/>
        </w:rPr>
        <w:t xml:space="preserve">», </w:t>
      </w:r>
      <w:proofErr w:type="spellStart"/>
      <w:r w:rsidRPr="00584889">
        <w:rPr>
          <w:i/>
          <w:sz w:val="20"/>
          <w:szCs w:val="20"/>
          <w:lang w:val="es-ES_tradnl"/>
        </w:rPr>
        <w:t>Bruegel</w:t>
      </w:r>
      <w:proofErr w:type="spellEnd"/>
      <w:r w:rsidRPr="00584889">
        <w:rPr>
          <w:sz w:val="20"/>
          <w:szCs w:val="20"/>
          <w:lang w:val="es-ES_tradnl"/>
        </w:rPr>
        <w:t>, 21 de octubre de 2016</w:t>
      </w:r>
    </w:p>
    <w:p w:rsidR="00A51B56" w:rsidRDefault="00A51B56" w:rsidP="006E7BDA">
      <w:pPr>
        <w:jc w:val="both"/>
        <w:rPr>
          <w:lang w:val="es-ES_tradnl"/>
        </w:rPr>
      </w:pPr>
    </w:p>
    <w:p w:rsidR="00A51B56" w:rsidRPr="001162A5" w:rsidRDefault="00A51B56" w:rsidP="00A51B56">
      <w:pPr>
        <w:jc w:val="both"/>
        <w:rPr>
          <w:rFonts w:eastAsiaTheme="minorHAnsi"/>
          <w:lang w:val="es-ES_tradnl"/>
        </w:rPr>
      </w:pPr>
      <w:r w:rsidRPr="001162A5">
        <w:rPr>
          <w:lang w:val="es-ES_tradnl"/>
        </w:rPr>
        <w:t xml:space="preserve">Jacques </w:t>
      </w:r>
      <w:proofErr w:type="spellStart"/>
      <w:r w:rsidRPr="001162A5">
        <w:rPr>
          <w:lang w:val="es-ES_tradnl"/>
        </w:rPr>
        <w:t>Pelkmans</w:t>
      </w:r>
      <w:proofErr w:type="spellEnd"/>
      <w:r w:rsidRPr="001162A5">
        <w:rPr>
          <w:lang w:val="es-ES_tradnl"/>
        </w:rPr>
        <w:t xml:space="preserve"> (investigador principal del CEPS)</w:t>
      </w:r>
      <w:r w:rsidRPr="001162A5">
        <w:rPr>
          <w:rStyle w:val="Refdenotaalpie"/>
          <w:lang w:val="es-ES_tradnl"/>
        </w:rPr>
        <w:footnoteReference w:id="4"/>
      </w:r>
      <w:r w:rsidRPr="001162A5">
        <w:rPr>
          <w:lang w:val="es-ES_tradnl"/>
        </w:rPr>
        <w:t xml:space="preserve">, sobre la base de un informe relativo al impacto económico de la retirada del Reino Unido de la UE publicado en abril de 2016 por el Ministerio de Hacienda británico, subraya que la pertenencia a la UE aumenta el comercio con los Estados miembros de la UE entre un 68 % y un 85 % respecto de un escenario en el que el comercio se rige por la pertenencia a la OMC. Esta conclusión es comparable a otros estudios que constatan una serie de efectos de la </w:t>
      </w:r>
      <w:r w:rsidRPr="001162A5">
        <w:rPr>
          <w:lang w:val="es-ES_tradnl"/>
        </w:rPr>
        <w:lastRenderedPageBreak/>
        <w:t xml:space="preserve">pertenencia a la UE en el comercio con otros países de la Unión de entre el 51 % y el 104 %. </w:t>
      </w:r>
      <w:proofErr w:type="spellStart"/>
      <w:r w:rsidRPr="001162A5">
        <w:rPr>
          <w:lang w:val="es-ES_tradnl"/>
        </w:rPr>
        <w:t>Pelkmans</w:t>
      </w:r>
      <w:proofErr w:type="spellEnd"/>
      <w:r w:rsidRPr="001162A5">
        <w:rPr>
          <w:lang w:val="es-ES_tradnl"/>
        </w:rPr>
        <w:t xml:space="preserve"> señala que, si el Reino Unido abandona el mercado único, estos «beneficios de pertenencia a la UE» desaparecerán y una retirada «dura» (es decir, el Reino Unido comercia con la UE con arreglo a las normas de la OMC) provocaría una enorme reducción del comercio, mientras que una retirada «semidura» (es decir, el Reino Unido negocia un ALC con la UE) disminuiría el comercio algo menos, en dos terceras partes. Lo anterior demuestra que la hipótesis de la OMC, es decir, que el Reino Unido salga de la Unión sin un acuerdo comercial, es la alternativa a la adhesión con la repercusión más negativa a largo plazo. El análisis del Ministerio de Hacienda también estima que alrededor de 3,3 millones de empleos, de un total de 33,8 millones en todo el Reino Unido, están ligados a las exportaciones del país a otros países de la UE</w:t>
      </w:r>
      <w:r w:rsidRPr="001162A5">
        <w:rPr>
          <w:rStyle w:val="Refdenotaalpie"/>
          <w:rFonts w:eastAsiaTheme="minorHAnsi"/>
          <w:lang w:val="es-ES_tradnl"/>
        </w:rPr>
        <w:footnoteReference w:id="5"/>
      </w:r>
      <w:r w:rsidRPr="001162A5">
        <w:rPr>
          <w:lang w:val="es-ES_tradnl"/>
        </w:rPr>
        <w:t>.</w:t>
      </w:r>
    </w:p>
    <w:p w:rsidR="00BF5E5B" w:rsidRDefault="00472F14" w:rsidP="00472F14">
      <w:pPr>
        <w:pStyle w:val="Ttulo1"/>
        <w:rPr>
          <w:lang w:val="es-ES_tradnl"/>
        </w:rPr>
      </w:pPr>
      <w:bookmarkStart w:id="4" w:name="_Toc481680177"/>
      <w:r>
        <w:rPr>
          <w:lang w:val="es-ES_tradnl"/>
        </w:rPr>
        <w:t xml:space="preserve">Calendario y negociación del </w:t>
      </w:r>
      <w:proofErr w:type="spellStart"/>
      <w:r>
        <w:rPr>
          <w:lang w:val="es-ES_tradnl"/>
        </w:rPr>
        <w:t>Brexit</w:t>
      </w:r>
      <w:bookmarkEnd w:id="4"/>
      <w:proofErr w:type="spellEnd"/>
    </w:p>
    <w:p w:rsidR="00BF5E5B" w:rsidRDefault="00BF5E5B" w:rsidP="005B14A5">
      <w:pPr>
        <w:jc w:val="both"/>
        <w:rPr>
          <w:lang w:val="es-ES_tradnl"/>
        </w:rPr>
      </w:pPr>
    </w:p>
    <w:p w:rsidR="00BF5E5B" w:rsidRDefault="00BF5E5B" w:rsidP="005B14A5">
      <w:pPr>
        <w:jc w:val="both"/>
        <w:rPr>
          <w:lang w:val="es-ES_tradnl"/>
        </w:rPr>
      </w:pPr>
    </w:p>
    <w:p w:rsidR="00173532" w:rsidRPr="005B14A5" w:rsidRDefault="00173532" w:rsidP="005B14A5">
      <w:pPr>
        <w:jc w:val="both"/>
        <w:rPr>
          <w:lang w:val="es-ES_tradnl"/>
        </w:rPr>
      </w:pPr>
      <w:r w:rsidRPr="005B14A5">
        <w:rPr>
          <w:lang w:val="es-ES_tradnl"/>
        </w:rPr>
        <w:t xml:space="preserve">El 29 de abril </w:t>
      </w:r>
      <w:r w:rsidR="00F46F36" w:rsidRPr="005B14A5">
        <w:rPr>
          <w:lang w:val="es-ES_tradnl"/>
        </w:rPr>
        <w:t xml:space="preserve">el Consejo Europeo </w:t>
      </w:r>
      <w:r w:rsidRPr="005B14A5">
        <w:rPr>
          <w:lang w:val="es-ES_tradnl"/>
        </w:rPr>
        <w:t>se reuni</w:t>
      </w:r>
      <w:r w:rsidR="00F46F36" w:rsidRPr="005B14A5">
        <w:rPr>
          <w:lang w:val="es-ES_tradnl"/>
        </w:rPr>
        <w:t>ó</w:t>
      </w:r>
      <w:r w:rsidRPr="005B14A5">
        <w:rPr>
          <w:lang w:val="es-ES_tradnl"/>
        </w:rPr>
        <w:t xml:space="preserve"> en Bruselas para elaborar unas “orientaciones del Consejo Europeo consecutivas a la notificación del Reino Unido en virtud del artículo 50 del TUE, adoptadas en la reunión de referencia”. Las orientaciones definen el marco de las negociaciones con arreglo al artículo 50 del TUE, y establecen las posiciones y principios generales que la Unión procurará mantener durante toda la negociación.</w:t>
      </w:r>
      <w:r w:rsidR="00F46F36" w:rsidRPr="005B14A5">
        <w:rPr>
          <w:lang w:val="es-ES_tradnl"/>
        </w:rPr>
        <w:t xml:space="preserve"> Cuatro días más tarde la Comisión Europea recomendó al Consejo la aprobación de una Decisión</w:t>
      </w:r>
      <w:r w:rsidR="00F46F36" w:rsidRPr="005B14A5">
        <w:rPr>
          <w:rStyle w:val="Refdenotaalpie"/>
          <w:lang w:val="es-ES_tradnl"/>
        </w:rPr>
        <w:footnoteReference w:id="6"/>
      </w:r>
      <w:r w:rsidR="00F46F36" w:rsidRPr="005B14A5">
        <w:rPr>
          <w:lang w:val="es-ES_tradnl"/>
        </w:rPr>
        <w:t>. Ambos documentos fijan las orientaciones básicas de las negociaciones.</w:t>
      </w:r>
    </w:p>
    <w:p w:rsidR="00F46F36" w:rsidRPr="005B14A5" w:rsidRDefault="00F46F36" w:rsidP="005B14A5">
      <w:pPr>
        <w:jc w:val="both"/>
        <w:rPr>
          <w:lang w:val="es-ES_tradnl"/>
        </w:rPr>
      </w:pPr>
    </w:p>
    <w:p w:rsidR="00A651E9" w:rsidRDefault="00A651E9" w:rsidP="005B14A5">
      <w:pPr>
        <w:jc w:val="both"/>
        <w:rPr>
          <w:lang w:val="es-ES_tradnl"/>
        </w:rPr>
      </w:pPr>
      <w:r w:rsidRPr="005B14A5">
        <w:rPr>
          <w:lang w:val="es-ES_tradnl"/>
        </w:rPr>
        <w:t>Debe entenderse que un acuerdo propiamente dicho sobre las relaciones futuras entre la Unión y el Reino Unido solo podrá formalizarse y celebrarse una vez que este haya pasado a ser un tercer país, el artículo 50 del TUE dispone que la fórmula que se establezca para la retirada del Reino Unido deberá tener en cuenta el marco de sus relaciones futuras con la Unión</w:t>
      </w:r>
    </w:p>
    <w:p w:rsidR="00217C64" w:rsidRDefault="00217C64" w:rsidP="005B14A5">
      <w:pPr>
        <w:jc w:val="both"/>
        <w:rPr>
          <w:lang w:val="es-ES_tradnl"/>
        </w:rPr>
      </w:pPr>
    </w:p>
    <w:p w:rsidR="00217C64" w:rsidRPr="005B14A5" w:rsidRDefault="00217C64" w:rsidP="00217C64">
      <w:pPr>
        <w:jc w:val="center"/>
        <w:rPr>
          <w:lang w:val="es-ES_tradnl"/>
        </w:rPr>
      </w:pPr>
      <w:r w:rsidRPr="005B14A5">
        <w:rPr>
          <w:noProof/>
          <w:lang w:val="es-ES" w:eastAsia="es-ES"/>
        </w:rPr>
        <w:drawing>
          <wp:inline distT="0" distB="0" distL="0" distR="0" wp14:anchorId="4FF860A8" wp14:editId="06A0FA95">
            <wp:extent cx="5199357" cy="2629346"/>
            <wp:effectExtent l="0" t="0" r="1905" b="0"/>
            <wp:docPr id="6" name="Imagen 6" descr="C:\Users\x063594\Documents\P034126000602-661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x063594\Documents\P034126000602-6618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5180" cy="2632290"/>
                    </a:xfrm>
                    <a:prstGeom prst="rect">
                      <a:avLst/>
                    </a:prstGeom>
                    <a:noFill/>
                    <a:ln>
                      <a:noFill/>
                    </a:ln>
                  </pic:spPr>
                </pic:pic>
              </a:graphicData>
            </a:graphic>
          </wp:inline>
        </w:drawing>
      </w:r>
    </w:p>
    <w:p w:rsidR="00173532" w:rsidRPr="005B14A5" w:rsidRDefault="00173532" w:rsidP="005B14A5">
      <w:pPr>
        <w:jc w:val="both"/>
        <w:rPr>
          <w:lang w:val="es-ES_tradnl"/>
        </w:rPr>
      </w:pPr>
    </w:p>
    <w:p w:rsidR="00173532" w:rsidRPr="00FB27FE" w:rsidRDefault="00173532" w:rsidP="005B14A5">
      <w:pPr>
        <w:jc w:val="both"/>
        <w:rPr>
          <w:b/>
          <w:i/>
          <w:lang w:val="es-ES_tradnl"/>
        </w:rPr>
      </w:pPr>
      <w:r w:rsidRPr="00FB27FE">
        <w:rPr>
          <w:b/>
          <w:i/>
          <w:lang w:val="es-ES_tradnl"/>
        </w:rPr>
        <w:t>Principios básicos</w:t>
      </w:r>
      <w:r w:rsidR="00A651E9" w:rsidRPr="00FB27FE">
        <w:rPr>
          <w:b/>
          <w:i/>
          <w:lang w:val="es-ES_tradnl"/>
        </w:rPr>
        <w:t xml:space="preserve"> y generales:</w:t>
      </w:r>
    </w:p>
    <w:p w:rsidR="00173532" w:rsidRPr="005B14A5" w:rsidRDefault="00173532" w:rsidP="005B14A5">
      <w:pPr>
        <w:jc w:val="both"/>
        <w:rPr>
          <w:lang w:val="es-ES_tradnl"/>
        </w:rPr>
      </w:pPr>
    </w:p>
    <w:p w:rsidR="00173532" w:rsidRPr="005B14A5" w:rsidRDefault="00173532" w:rsidP="005B14A5">
      <w:pPr>
        <w:jc w:val="both"/>
        <w:rPr>
          <w:lang w:val="es-ES_tradnl"/>
        </w:rPr>
      </w:pPr>
      <w:r w:rsidRPr="005B14A5">
        <w:rPr>
          <w:b/>
          <w:lang w:val="es-ES_tradnl"/>
        </w:rPr>
        <w:t>Indivisibilidad de las cuatro libertades del mercado interior</w:t>
      </w:r>
      <w:r w:rsidRPr="005B14A5">
        <w:rPr>
          <w:lang w:val="es-ES_tradnl"/>
        </w:rPr>
        <w:t xml:space="preserve"> (libertad de circulación de las personas, los bienes, los servicios y los capitales).</w:t>
      </w:r>
      <w:r w:rsidR="006C1E36" w:rsidRPr="005B14A5">
        <w:rPr>
          <w:lang w:val="es-ES_tradnl"/>
        </w:rPr>
        <w:t xml:space="preserve"> La participación en el </w:t>
      </w:r>
      <w:r w:rsidR="006C1E36" w:rsidRPr="005B14A5">
        <w:rPr>
          <w:b/>
          <w:lang w:val="es-ES_tradnl"/>
        </w:rPr>
        <w:t>mercado único</w:t>
      </w:r>
      <w:r w:rsidR="006C1E36" w:rsidRPr="005B14A5">
        <w:rPr>
          <w:lang w:val="es-ES_tradnl"/>
        </w:rPr>
        <w:t xml:space="preserve"> exige la aceptación de las cuatro libertades. </w:t>
      </w:r>
      <w:r w:rsidRPr="005B14A5">
        <w:rPr>
          <w:lang w:val="es-ES_tradnl"/>
        </w:rPr>
        <w:t xml:space="preserve">El escollo fundamental radica en el la primera, libertad de circulación de personas. El Consejo es contundente, </w:t>
      </w:r>
      <w:r w:rsidR="0002569C" w:rsidRPr="005B14A5">
        <w:rPr>
          <w:lang w:val="es-ES_tradnl"/>
        </w:rPr>
        <w:t>l</w:t>
      </w:r>
      <w:r w:rsidRPr="005B14A5">
        <w:rPr>
          <w:lang w:val="es-ES_tradnl"/>
        </w:rPr>
        <w:t xml:space="preserve">as cuatro libertades del mercado único son indivisibles y de que no se puede «escoger a conveniencia». </w:t>
      </w:r>
    </w:p>
    <w:p w:rsidR="00F46F36" w:rsidRPr="005B14A5" w:rsidRDefault="00F46F36" w:rsidP="005B14A5">
      <w:pPr>
        <w:jc w:val="both"/>
        <w:rPr>
          <w:lang w:val="es-ES_tradnl"/>
        </w:rPr>
      </w:pPr>
    </w:p>
    <w:p w:rsidR="0002569C" w:rsidRPr="005B14A5" w:rsidRDefault="0002569C" w:rsidP="005B14A5">
      <w:pPr>
        <w:jc w:val="both"/>
        <w:rPr>
          <w:lang w:val="es-ES_tradnl"/>
        </w:rPr>
      </w:pPr>
      <w:r w:rsidRPr="005B14A5">
        <w:rPr>
          <w:b/>
          <w:lang w:val="es-ES_tradnl"/>
        </w:rPr>
        <w:t>Transparencia y unidad:</w:t>
      </w:r>
      <w:r w:rsidRPr="005B14A5">
        <w:rPr>
          <w:lang w:val="es-ES_tradnl"/>
        </w:rPr>
        <w:t xml:space="preserve"> basado el principio de que </w:t>
      </w:r>
      <w:r w:rsidRPr="005B14A5">
        <w:rPr>
          <w:b/>
          <w:lang w:val="es-ES_tradnl"/>
        </w:rPr>
        <w:t>nada está acordado hasta que todo esté acordado</w:t>
      </w:r>
      <w:r w:rsidRPr="005B14A5">
        <w:rPr>
          <w:lang w:val="es-ES_tradnl"/>
        </w:rPr>
        <w:t xml:space="preserve">, no se podrá buscar una solución por separado para aspectos individuales. </w:t>
      </w:r>
      <w:r w:rsidR="00A651E9" w:rsidRPr="005B14A5">
        <w:rPr>
          <w:b/>
          <w:lang w:val="es-ES_tradnl"/>
        </w:rPr>
        <w:t>No habrá negociaciones por separado</w:t>
      </w:r>
      <w:r w:rsidR="00A651E9" w:rsidRPr="005B14A5">
        <w:rPr>
          <w:lang w:val="es-ES_tradnl"/>
        </w:rPr>
        <w:t xml:space="preserve"> entre Estados miembros individuales y el Reino Unido sobre asuntos relativos a su retirada de la Unión.</w:t>
      </w:r>
    </w:p>
    <w:p w:rsidR="00A651E9" w:rsidRPr="005B14A5" w:rsidRDefault="00A651E9" w:rsidP="005B14A5">
      <w:pPr>
        <w:jc w:val="both"/>
        <w:rPr>
          <w:lang w:val="es-ES_tradnl"/>
        </w:rPr>
      </w:pPr>
    </w:p>
    <w:p w:rsidR="00A651E9" w:rsidRPr="00FB27FE" w:rsidRDefault="00A651E9" w:rsidP="005B14A5">
      <w:pPr>
        <w:jc w:val="both"/>
        <w:rPr>
          <w:b/>
          <w:i/>
          <w:lang w:val="es-ES_tradnl"/>
        </w:rPr>
      </w:pPr>
      <w:r w:rsidRPr="00FB27FE">
        <w:rPr>
          <w:b/>
          <w:i/>
          <w:lang w:val="es-ES_tradnl"/>
        </w:rPr>
        <w:t>Negociación por fases</w:t>
      </w:r>
    </w:p>
    <w:p w:rsidR="005B14A5" w:rsidRPr="005B14A5" w:rsidRDefault="005B14A5" w:rsidP="005B14A5">
      <w:pPr>
        <w:jc w:val="both"/>
        <w:rPr>
          <w:lang w:val="es-ES_tradnl"/>
        </w:rPr>
      </w:pPr>
    </w:p>
    <w:p w:rsidR="00A651E9" w:rsidRPr="005B14A5" w:rsidRDefault="00A651E9" w:rsidP="005B14A5">
      <w:pPr>
        <w:jc w:val="both"/>
        <w:rPr>
          <w:lang w:val="es-ES_tradnl"/>
        </w:rPr>
      </w:pPr>
      <w:r w:rsidRPr="005B14A5">
        <w:rPr>
          <w:lang w:val="es-ES_tradnl"/>
        </w:rPr>
        <w:t xml:space="preserve">La primera fase de las negociaciones tendrá por objeto: </w:t>
      </w:r>
    </w:p>
    <w:p w:rsidR="00A651E9" w:rsidRPr="005B14A5" w:rsidRDefault="00A651E9" w:rsidP="005B14A5">
      <w:pPr>
        <w:jc w:val="both"/>
        <w:rPr>
          <w:lang w:val="es-ES_tradnl"/>
        </w:rPr>
      </w:pPr>
    </w:p>
    <w:p w:rsidR="00A651E9" w:rsidRPr="005B14A5" w:rsidRDefault="00A651E9" w:rsidP="005B14A5">
      <w:pPr>
        <w:jc w:val="both"/>
        <w:rPr>
          <w:lang w:val="es-ES_tradnl"/>
        </w:rPr>
      </w:pPr>
      <w:r w:rsidRPr="005B14A5">
        <w:rPr>
          <w:lang w:val="es-ES_tradnl"/>
        </w:rPr>
        <w:t xml:space="preserve">– proporcionar la mayor claridad y seguridad jurídica posibles a los ciudadanos, las empresas, las partes interesadas y los socios internacionales sobre los efectos inmediatos de la retirada del Reino Unido; </w:t>
      </w:r>
    </w:p>
    <w:p w:rsidR="00A651E9" w:rsidRPr="005B14A5" w:rsidRDefault="00A651E9" w:rsidP="005B14A5">
      <w:pPr>
        <w:jc w:val="both"/>
        <w:rPr>
          <w:lang w:val="es-ES_tradnl"/>
        </w:rPr>
      </w:pPr>
      <w:r w:rsidRPr="005B14A5">
        <w:rPr>
          <w:lang w:val="es-ES_tradnl"/>
        </w:rPr>
        <w:t>– desvincular al Reino Unido de la Unión y de todos los derechos y obligaciones que le incumben en virtud de los compromisos adquiridos en tanto que Estado miembro</w:t>
      </w:r>
    </w:p>
    <w:p w:rsidR="0002569C" w:rsidRPr="005B14A5" w:rsidRDefault="0002569C" w:rsidP="005B14A5">
      <w:pPr>
        <w:jc w:val="both"/>
        <w:rPr>
          <w:lang w:val="es-ES_tradnl"/>
        </w:rPr>
      </w:pPr>
    </w:p>
    <w:p w:rsidR="00A651E9" w:rsidRPr="005B14A5" w:rsidRDefault="00A651E9" w:rsidP="005B14A5">
      <w:pPr>
        <w:jc w:val="both"/>
        <w:rPr>
          <w:lang w:val="es-ES_tradnl"/>
        </w:rPr>
      </w:pPr>
      <w:r w:rsidRPr="005B14A5">
        <w:rPr>
          <w:lang w:val="es-ES_tradnl"/>
        </w:rPr>
        <w:t xml:space="preserve">Siempre que sea necesario y jurídicamente viable, en las negociaciones también se podrá tratar de determinar </w:t>
      </w:r>
      <w:r w:rsidRPr="005B14A5">
        <w:rPr>
          <w:b/>
          <w:lang w:val="es-ES_tradnl"/>
        </w:rPr>
        <w:t>fórmulas transitorias</w:t>
      </w:r>
      <w:r w:rsidRPr="005B14A5">
        <w:rPr>
          <w:lang w:val="es-ES_tradnl"/>
        </w:rPr>
        <w:t xml:space="preserve"> que redunden en interés de la Unión y, cuando proceda, tender puentes hacia el marco previsible de las relaciones futuras en función de los progresos realizados.</w:t>
      </w:r>
    </w:p>
    <w:p w:rsidR="00B94D6A" w:rsidRPr="005B14A5" w:rsidRDefault="00B94D6A" w:rsidP="005B14A5">
      <w:pPr>
        <w:jc w:val="both"/>
        <w:rPr>
          <w:lang w:val="es-ES_tradnl"/>
        </w:rPr>
      </w:pPr>
    </w:p>
    <w:p w:rsidR="00B94D6A" w:rsidRPr="005B14A5" w:rsidRDefault="00B94D6A" w:rsidP="005B14A5">
      <w:pPr>
        <w:jc w:val="both"/>
        <w:rPr>
          <w:lang w:val="es-ES_tradnl"/>
        </w:rPr>
      </w:pPr>
      <w:r w:rsidRPr="005B14A5">
        <w:rPr>
          <w:lang w:val="es-ES_tradnl"/>
        </w:rPr>
        <w:t>El plazo de dos años que establece el artículo 50 del TUE concluye el 29 de marzo de 2019.</w:t>
      </w:r>
    </w:p>
    <w:p w:rsidR="00B94D6A" w:rsidRPr="005B14A5" w:rsidRDefault="00B94D6A" w:rsidP="005B14A5">
      <w:pPr>
        <w:jc w:val="both"/>
        <w:rPr>
          <w:lang w:val="es-ES_tradnl"/>
        </w:rPr>
      </w:pPr>
    </w:p>
    <w:p w:rsidR="00B94D6A" w:rsidRPr="00FB27FE" w:rsidRDefault="00B94D6A" w:rsidP="005B14A5">
      <w:pPr>
        <w:jc w:val="both"/>
        <w:rPr>
          <w:b/>
          <w:i/>
          <w:lang w:val="es-ES_tradnl"/>
        </w:rPr>
      </w:pPr>
      <w:r w:rsidRPr="00FB27FE">
        <w:rPr>
          <w:b/>
          <w:i/>
          <w:lang w:val="es-ES_tradnl"/>
        </w:rPr>
        <w:t>Acuerdo sobre retirada “ordenada”</w:t>
      </w:r>
    </w:p>
    <w:p w:rsidR="00B94D6A" w:rsidRPr="005B14A5" w:rsidRDefault="00B94D6A" w:rsidP="005B14A5">
      <w:pPr>
        <w:jc w:val="both"/>
        <w:rPr>
          <w:lang w:val="es-ES_tradnl"/>
        </w:rPr>
      </w:pPr>
    </w:p>
    <w:p w:rsidR="00B94D6A" w:rsidRPr="005B14A5" w:rsidRDefault="00B94D6A" w:rsidP="005B14A5">
      <w:pPr>
        <w:jc w:val="both"/>
        <w:rPr>
          <w:lang w:val="es-ES_tradnl"/>
        </w:rPr>
      </w:pPr>
      <w:r w:rsidRPr="005B14A5">
        <w:rPr>
          <w:b/>
          <w:lang w:val="es-ES_tradnl"/>
        </w:rPr>
        <w:t>Ciudadanos y residencia:</w:t>
      </w:r>
      <w:r w:rsidRPr="005B14A5">
        <w:rPr>
          <w:lang w:val="es-ES_tradnl"/>
        </w:rPr>
        <w:t xml:space="preserve"> la primera prioridad de las negociaciones será acordar garantías recíprocas para garantizar la situación y los derechos que se deriven del Derecho de la UE, en la fecha de la retirada, de los ciudadanos de la UE y del Reino Unido y sus familias que se vean afectados por la retirada del Reino Unido de la Unión. Estas garantías deben ser efectivas, vinculantes, no discriminatorias y completas, incluido el derecho de adquirir la residencia permanente tras un periodo ininterrumpido de cinco años de residencia legal.</w:t>
      </w:r>
    </w:p>
    <w:p w:rsidR="00B94D6A" w:rsidRPr="005B14A5" w:rsidRDefault="00B94D6A" w:rsidP="005B14A5">
      <w:pPr>
        <w:jc w:val="both"/>
        <w:rPr>
          <w:lang w:val="es-ES_tradnl"/>
        </w:rPr>
      </w:pPr>
    </w:p>
    <w:p w:rsidR="00B94D6A" w:rsidRPr="005B14A5" w:rsidRDefault="00B94D6A" w:rsidP="005B14A5">
      <w:pPr>
        <w:jc w:val="both"/>
        <w:rPr>
          <w:lang w:val="es-ES_tradnl"/>
        </w:rPr>
      </w:pPr>
      <w:r w:rsidRPr="005B14A5">
        <w:rPr>
          <w:b/>
          <w:lang w:val="es-ES_tradnl"/>
        </w:rPr>
        <w:t>Empresas:</w:t>
      </w:r>
      <w:r w:rsidRPr="005B14A5">
        <w:rPr>
          <w:lang w:val="es-ES_tradnl"/>
        </w:rPr>
        <w:t xml:space="preserve"> </w:t>
      </w:r>
      <w:r w:rsidR="00131712" w:rsidRPr="005B14A5">
        <w:rPr>
          <w:lang w:val="es-ES_tradnl"/>
        </w:rPr>
        <w:t>l</w:t>
      </w:r>
      <w:r w:rsidRPr="005B14A5">
        <w:rPr>
          <w:lang w:val="es-ES_tradnl"/>
        </w:rPr>
        <w:t>as negociaciones deben tratar de evitar el vacío jurídico una vez que los Tratados dejen de aplicarse al Reino Unido y, en la medida de lo posible, abordar las incertidumbres.</w:t>
      </w:r>
    </w:p>
    <w:p w:rsidR="00B94D6A" w:rsidRPr="005B14A5" w:rsidRDefault="00B94D6A" w:rsidP="005B14A5">
      <w:pPr>
        <w:jc w:val="both"/>
        <w:rPr>
          <w:lang w:val="es-ES_tradnl"/>
        </w:rPr>
      </w:pPr>
    </w:p>
    <w:p w:rsidR="00B94D6A" w:rsidRPr="005B14A5" w:rsidRDefault="00B94D6A" w:rsidP="005B14A5">
      <w:pPr>
        <w:jc w:val="both"/>
        <w:rPr>
          <w:lang w:val="es-ES_tradnl"/>
        </w:rPr>
      </w:pPr>
      <w:r w:rsidRPr="005B14A5">
        <w:rPr>
          <w:b/>
          <w:lang w:val="es-ES_tradnl"/>
        </w:rPr>
        <w:lastRenderedPageBreak/>
        <w:t>Un acuerdo económico único:</w:t>
      </w:r>
      <w:r w:rsidRPr="005B14A5">
        <w:rPr>
          <w:lang w:val="es-ES_tradnl"/>
        </w:rPr>
        <w:t xml:space="preserve"> </w:t>
      </w:r>
      <w:r w:rsidR="00097DEB" w:rsidRPr="005B14A5">
        <w:rPr>
          <w:lang w:val="es-ES_tradnl"/>
        </w:rPr>
        <w:t>que incluya Marco Financiero Plurianual, y otros acuerdos del BEI, BCE y FED, que aseguren que Reino Unido cumple sus obligaciones.</w:t>
      </w:r>
      <w:r w:rsidR="005B14A5" w:rsidRPr="005B14A5">
        <w:rPr>
          <w:lang w:val="es-ES_tradnl"/>
        </w:rPr>
        <w:t xml:space="preserve"> Liquidación financiera única relativa al presupuesto de la Unión, así como a la participación del Reino Unido en fondos.</w:t>
      </w:r>
    </w:p>
    <w:p w:rsidR="00097DEB" w:rsidRPr="005B14A5" w:rsidRDefault="00097DEB" w:rsidP="005B14A5">
      <w:pPr>
        <w:jc w:val="both"/>
        <w:rPr>
          <w:lang w:val="es-ES_tradnl"/>
        </w:rPr>
      </w:pPr>
    </w:p>
    <w:p w:rsidR="00097DEB" w:rsidRPr="005B14A5" w:rsidRDefault="00097DEB" w:rsidP="005B14A5">
      <w:pPr>
        <w:jc w:val="both"/>
        <w:rPr>
          <w:lang w:val="es-ES_tradnl"/>
        </w:rPr>
      </w:pPr>
      <w:r w:rsidRPr="005B14A5">
        <w:rPr>
          <w:b/>
          <w:lang w:val="es-ES_tradnl"/>
        </w:rPr>
        <w:t>Acuerdos internacionales:</w:t>
      </w:r>
      <w:r w:rsidRPr="005B14A5">
        <w:rPr>
          <w:lang w:val="es-ES_tradnl"/>
        </w:rPr>
        <w:t xml:space="preserve"> Tras la retirada, el Reino Unido dejará de estar vinculado por los acuerdos celebrados por la Unión o por Estados miembros que actúen en su nombre o por la Unión y sus Estados miembros conjuntamente.</w:t>
      </w:r>
    </w:p>
    <w:p w:rsidR="00097DEB" w:rsidRPr="005B14A5" w:rsidRDefault="00097DEB" w:rsidP="005B14A5">
      <w:pPr>
        <w:jc w:val="both"/>
        <w:rPr>
          <w:lang w:val="es-ES_tradnl"/>
        </w:rPr>
      </w:pPr>
    </w:p>
    <w:p w:rsidR="00131712" w:rsidRPr="005B14A5" w:rsidRDefault="00131712" w:rsidP="005B14A5">
      <w:pPr>
        <w:jc w:val="both"/>
        <w:rPr>
          <w:lang w:val="es-ES_tradnl"/>
        </w:rPr>
      </w:pPr>
      <w:r w:rsidRPr="005B14A5">
        <w:rPr>
          <w:b/>
          <w:lang w:val="es-ES_tradnl"/>
        </w:rPr>
        <w:t>Seguridad jurídica:</w:t>
      </w:r>
      <w:r w:rsidRPr="005B14A5">
        <w:rPr>
          <w:lang w:val="es-ES_tradnl"/>
        </w:rPr>
        <w:t xml:space="preserve"> garantizar seguridad jurídica a aquellos procedimientos judiciales pendientes en el momento del </w:t>
      </w:r>
      <w:proofErr w:type="spellStart"/>
      <w:r w:rsidRPr="005B14A5">
        <w:rPr>
          <w:lang w:val="es-ES_tradnl"/>
        </w:rPr>
        <w:t>Brexit</w:t>
      </w:r>
      <w:proofErr w:type="spellEnd"/>
      <w:r w:rsidRPr="005B14A5">
        <w:rPr>
          <w:lang w:val="es-ES_tradnl"/>
        </w:rPr>
        <w:t>.</w:t>
      </w:r>
    </w:p>
    <w:p w:rsidR="00131712" w:rsidRPr="005B14A5" w:rsidRDefault="00131712" w:rsidP="005B14A5">
      <w:pPr>
        <w:jc w:val="both"/>
        <w:rPr>
          <w:lang w:val="es-ES_tradnl"/>
        </w:rPr>
      </w:pPr>
    </w:p>
    <w:p w:rsidR="00097DEB" w:rsidRPr="005B14A5" w:rsidRDefault="00131712" w:rsidP="005B14A5">
      <w:pPr>
        <w:jc w:val="both"/>
        <w:rPr>
          <w:lang w:val="es-ES_tradnl"/>
        </w:rPr>
      </w:pPr>
      <w:r w:rsidRPr="005B14A5">
        <w:rPr>
          <w:b/>
          <w:lang w:val="es-ES_tradnl"/>
        </w:rPr>
        <w:t>Mecanismos apropiados de cumplimiento y solución de controversias</w:t>
      </w:r>
      <w:r w:rsidRPr="005B14A5">
        <w:rPr>
          <w:lang w:val="es-ES_tradnl"/>
        </w:rPr>
        <w:t xml:space="preserve"> en relación con la aplicación e interpretación del acuerdo de retirada, así como disposiciones institucionales debidamente circunscritas que permitan adoptar las medidas necesarias para hacer frente a situaciones no previstas en el acuerdo de retirada </w:t>
      </w:r>
    </w:p>
    <w:p w:rsidR="00131712" w:rsidRPr="005B14A5" w:rsidRDefault="00131712" w:rsidP="005B14A5">
      <w:pPr>
        <w:jc w:val="both"/>
        <w:rPr>
          <w:lang w:val="es-ES_tradnl"/>
        </w:rPr>
      </w:pPr>
    </w:p>
    <w:p w:rsidR="00131712" w:rsidRPr="00FB27FE" w:rsidRDefault="00131712" w:rsidP="005B14A5">
      <w:pPr>
        <w:jc w:val="both"/>
        <w:rPr>
          <w:b/>
          <w:i/>
          <w:lang w:val="es-ES_tradnl"/>
        </w:rPr>
      </w:pPr>
      <w:r w:rsidRPr="00FB27FE">
        <w:rPr>
          <w:b/>
          <w:i/>
          <w:lang w:val="es-ES_tradnl"/>
        </w:rPr>
        <w:t>Deliberaciones previas</w:t>
      </w:r>
    </w:p>
    <w:p w:rsidR="00131712" w:rsidRPr="005B14A5" w:rsidRDefault="00131712" w:rsidP="005B14A5">
      <w:pPr>
        <w:jc w:val="both"/>
        <w:rPr>
          <w:lang w:val="es-ES_tradnl"/>
        </w:rPr>
      </w:pPr>
    </w:p>
    <w:p w:rsidR="00131712" w:rsidRPr="005B14A5" w:rsidRDefault="00131712" w:rsidP="005B14A5">
      <w:pPr>
        <w:jc w:val="both"/>
        <w:rPr>
          <w:lang w:val="es-ES_tradnl"/>
        </w:rPr>
      </w:pPr>
      <w:r w:rsidRPr="005B14A5">
        <w:rPr>
          <w:b/>
          <w:lang w:val="es-ES_tradnl"/>
        </w:rPr>
        <w:t>Un tercer Estado no puede ofrecer las mismas ventajas que la pertenencia a la Unión</w:t>
      </w:r>
      <w:r w:rsidRPr="005B14A5">
        <w:rPr>
          <w:lang w:val="es-ES_tradnl"/>
        </w:rPr>
        <w:t>, pero si se pueden constituir unos vínculos fuertes y constructivos.</w:t>
      </w:r>
    </w:p>
    <w:p w:rsidR="00131712" w:rsidRPr="005B14A5" w:rsidRDefault="00131712" w:rsidP="005B14A5">
      <w:pPr>
        <w:jc w:val="both"/>
        <w:rPr>
          <w:lang w:val="es-ES_tradnl"/>
        </w:rPr>
      </w:pPr>
    </w:p>
    <w:p w:rsidR="00131712" w:rsidRPr="005B14A5" w:rsidRDefault="00131712" w:rsidP="005B14A5">
      <w:pPr>
        <w:jc w:val="both"/>
        <w:rPr>
          <w:lang w:val="es-ES_tradnl"/>
        </w:rPr>
      </w:pPr>
      <w:r w:rsidRPr="005B14A5">
        <w:rPr>
          <w:b/>
          <w:lang w:val="es-ES_tradnl"/>
        </w:rPr>
        <w:t>El Gobierno británico ha indicado que no pretende permanecer en el Mercado Único, pero que quisiera tratar de lograr un acuerdo de libre comercio ambicioso con la Unión Europea</w:t>
      </w:r>
      <w:r w:rsidRPr="005B14A5">
        <w:rPr>
          <w:lang w:val="es-ES_tradnl"/>
        </w:rPr>
        <w:t>. Un eventual acuerdo de libre comercio deberá ser equilibrado, ambicioso y de amplio espectro, pero no podrá equivaler a la participación en el Mercado Único o en partes del mismo, ya que esto menoscabaría su integridad y correcto funcionamiento.</w:t>
      </w:r>
    </w:p>
    <w:p w:rsidR="00131712" w:rsidRPr="005B14A5" w:rsidRDefault="00131712" w:rsidP="005B14A5">
      <w:pPr>
        <w:jc w:val="both"/>
        <w:rPr>
          <w:lang w:val="es-ES_tradnl"/>
        </w:rPr>
      </w:pPr>
    </w:p>
    <w:p w:rsidR="00131712" w:rsidRPr="005B14A5" w:rsidRDefault="00131712" w:rsidP="005B14A5">
      <w:pPr>
        <w:jc w:val="both"/>
        <w:rPr>
          <w:lang w:val="es-ES_tradnl"/>
        </w:rPr>
      </w:pPr>
      <w:r w:rsidRPr="005B14A5">
        <w:rPr>
          <w:b/>
          <w:lang w:val="es-ES_tradnl"/>
        </w:rPr>
        <w:t xml:space="preserve">Principio de </w:t>
      </w:r>
      <w:r w:rsidR="00A10FC6" w:rsidRPr="005B14A5">
        <w:rPr>
          <w:b/>
          <w:lang w:val="es-ES_tradnl"/>
        </w:rPr>
        <w:t>cooperación</w:t>
      </w:r>
      <w:r w:rsidRPr="005B14A5">
        <w:rPr>
          <w:b/>
          <w:lang w:val="es-ES_tradnl"/>
        </w:rPr>
        <w:t xml:space="preserve"> leal</w:t>
      </w:r>
      <w:r w:rsidRPr="005B14A5">
        <w:rPr>
          <w:lang w:val="es-ES_tradnl"/>
        </w:rPr>
        <w:t>: Hasta el momento en que abandone la Unión, el Reino Unido sigue siendo miembro de pleno derecho de la Unión Europea, y está sujeto a todos los derechos y obligaciones establecidos en los Tratados y con arreglo a la legislación de la UE, incluido el principio de cooperación leal</w:t>
      </w:r>
      <w:r w:rsidR="005B14A5" w:rsidRPr="005B14A5">
        <w:rPr>
          <w:lang w:val="es-ES_tradnl"/>
        </w:rPr>
        <w:t>.</w:t>
      </w:r>
    </w:p>
    <w:p w:rsidR="005B14A5" w:rsidRPr="005B14A5" w:rsidRDefault="005B14A5" w:rsidP="005B14A5">
      <w:pPr>
        <w:jc w:val="both"/>
        <w:rPr>
          <w:lang w:val="es-ES_tradnl"/>
        </w:rPr>
      </w:pPr>
    </w:p>
    <w:p w:rsidR="005B14A5" w:rsidRPr="00FB27FE" w:rsidRDefault="005B14A5" w:rsidP="005B14A5">
      <w:pPr>
        <w:pStyle w:val="NormalWeb"/>
        <w:shd w:val="clear" w:color="auto" w:fill="FFFFFF"/>
        <w:spacing w:before="0" w:beforeAutospacing="0" w:after="0" w:afterAutospacing="0"/>
        <w:jc w:val="both"/>
        <w:rPr>
          <w:rStyle w:val="Textoennegrita"/>
          <w:i/>
          <w:color w:val="000000"/>
          <w:bdr w:val="none" w:sz="0" w:space="0" w:color="auto" w:frame="1"/>
        </w:rPr>
      </w:pPr>
      <w:r w:rsidRPr="00FB27FE">
        <w:rPr>
          <w:rStyle w:val="Textoennegrita"/>
          <w:i/>
          <w:color w:val="000000"/>
          <w:bdr w:val="none" w:sz="0" w:space="0" w:color="auto" w:frame="1"/>
        </w:rPr>
        <w:t>¿Quién negociará por parte de la Unión Europea?</w:t>
      </w:r>
    </w:p>
    <w:p w:rsidR="005B14A5" w:rsidRPr="005B14A5" w:rsidRDefault="005B14A5" w:rsidP="005B14A5">
      <w:pPr>
        <w:pStyle w:val="NormalWeb"/>
        <w:shd w:val="clear" w:color="auto" w:fill="FFFFFF"/>
        <w:spacing w:before="0" w:beforeAutospacing="0" w:after="0" w:afterAutospacing="0"/>
        <w:jc w:val="both"/>
        <w:rPr>
          <w:color w:val="000000"/>
        </w:rPr>
      </w:pPr>
    </w:p>
    <w:p w:rsidR="005B14A5" w:rsidRDefault="005B14A5" w:rsidP="005B14A5">
      <w:pPr>
        <w:pStyle w:val="NormalWeb"/>
        <w:shd w:val="clear" w:color="auto" w:fill="FFFFFF"/>
        <w:spacing w:before="0" w:beforeAutospacing="0" w:after="0" w:afterAutospacing="0"/>
        <w:jc w:val="both"/>
        <w:rPr>
          <w:color w:val="000000"/>
        </w:rPr>
      </w:pPr>
      <w:r w:rsidRPr="005B14A5">
        <w:rPr>
          <w:color w:val="000000"/>
        </w:rPr>
        <w:t>Los jefes de Estado o de Gobierno de los 27 países de la UE invitaron al Consejo a designar a la Comisión como negociadora por parte de la Unión Europea y acogieron favorablemente el nombramiento por la Comisión de Michel Barnier como negociador principal.</w:t>
      </w:r>
    </w:p>
    <w:p w:rsidR="00425BD0" w:rsidRPr="005B14A5" w:rsidRDefault="00425BD0" w:rsidP="005B14A5">
      <w:pPr>
        <w:pStyle w:val="NormalWeb"/>
        <w:shd w:val="clear" w:color="auto" w:fill="FFFFFF"/>
        <w:spacing w:before="0" w:beforeAutospacing="0" w:after="0" w:afterAutospacing="0"/>
        <w:jc w:val="both"/>
        <w:rPr>
          <w:color w:val="000000"/>
        </w:rPr>
      </w:pPr>
    </w:p>
    <w:p w:rsidR="00173532" w:rsidRPr="005B14A5" w:rsidRDefault="005B14A5" w:rsidP="00FB27FE">
      <w:pPr>
        <w:pStyle w:val="NormalWeb"/>
        <w:shd w:val="clear" w:color="auto" w:fill="FFFFFF"/>
        <w:spacing w:before="0" w:beforeAutospacing="0" w:after="0" w:afterAutospacing="0"/>
        <w:jc w:val="both"/>
        <w:rPr>
          <w:b/>
          <w:lang w:val="es-ES_tradnl"/>
        </w:rPr>
      </w:pPr>
      <w:r w:rsidRPr="005B14A5">
        <w:rPr>
          <w:color w:val="000000"/>
        </w:rPr>
        <w:t>La Comisión Europea, en su calidad de institución negociadora en nombre de la Unión, y Michel Barnier, en su calidad de negociador principal de la Comisión, mantendrán sistemáticamente informados al Consejo Europeo, al Consejo y a sus órganos preparatorios.</w:t>
      </w:r>
      <w:r>
        <w:rPr>
          <w:color w:val="000000"/>
        </w:rPr>
        <w:t xml:space="preserve"> </w:t>
      </w:r>
      <w:r w:rsidRPr="005B14A5">
        <w:rPr>
          <w:color w:val="000000"/>
        </w:rPr>
        <w:t>Michel Barnier mantendrá al Parlamento Europeo perfecta y regularmente informado a lo largo de las negociaciones.</w:t>
      </w:r>
    </w:p>
    <w:sectPr w:rsidR="00173532" w:rsidRPr="005B14A5">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AD" w:rsidRDefault="00600EAD" w:rsidP="00870F79">
      <w:r>
        <w:separator/>
      </w:r>
    </w:p>
  </w:endnote>
  <w:endnote w:type="continuationSeparator" w:id="0">
    <w:p w:rsidR="00600EAD" w:rsidRDefault="00600EAD" w:rsidP="0087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944"/>
      <w:docPartObj>
        <w:docPartGallery w:val="Page Numbers (Bottom of Page)"/>
        <w:docPartUnique/>
      </w:docPartObj>
    </w:sdtPr>
    <w:sdtEndPr/>
    <w:sdtContent>
      <w:p w:rsidR="00B94DCF" w:rsidRDefault="00B94DCF" w:rsidP="00B94DCF">
        <w:pPr>
          <w:pStyle w:val="Piedepgina"/>
          <w:jc w:val="right"/>
        </w:pPr>
        <w:r>
          <w:fldChar w:fldCharType="begin"/>
        </w:r>
        <w:r>
          <w:instrText>PAGE   \* MERGEFORMAT</w:instrText>
        </w:r>
        <w:r>
          <w:fldChar w:fldCharType="separate"/>
        </w:r>
        <w:r w:rsidR="001E640F" w:rsidRPr="001E640F">
          <w:rPr>
            <w:noProof/>
            <w:lang w:val="es-ES"/>
          </w:rPr>
          <w:t>1</w:t>
        </w:r>
        <w:r>
          <w:fldChar w:fldCharType="end"/>
        </w:r>
      </w:p>
    </w:sdtContent>
  </w:sdt>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B94DCF" w:rsidRPr="00680B7E" w:rsidTr="00C9507E">
      <w:trPr>
        <w:jc w:val="center"/>
      </w:trPr>
      <w:tc>
        <w:tcPr>
          <w:tcW w:w="2881" w:type="dxa"/>
          <w:vAlign w:val="bottom"/>
        </w:tcPr>
        <w:p w:rsidR="00B94DCF" w:rsidRPr="00DC69AD" w:rsidRDefault="00B94DCF" w:rsidP="00C9507E">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rsidR="00B94DCF" w:rsidRPr="00DC69AD" w:rsidRDefault="00B94DCF" w:rsidP="00C9507E">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B94DCF" w:rsidRPr="002802E5" w:rsidRDefault="00B94DCF" w:rsidP="00C9507E">
          <w:pPr>
            <w:pStyle w:val="Piedepgina"/>
            <w:jc w:val="center"/>
            <w:rPr>
              <w:b/>
              <w:i/>
              <w:sz w:val="18"/>
              <w:szCs w:val="18"/>
            </w:rPr>
          </w:pPr>
          <w:r w:rsidRPr="002802E5">
            <w:rPr>
              <w:b/>
              <w:i/>
              <w:noProof/>
              <w:sz w:val="18"/>
              <w:szCs w:val="18"/>
              <w:lang w:val="es-ES" w:eastAsia="es-ES"/>
            </w:rPr>
            <w:drawing>
              <wp:inline distT="0" distB="0" distL="0" distR="0" wp14:anchorId="30162C09" wp14:editId="5DA42A03">
                <wp:extent cx="951124" cy="261295"/>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B94DCF" w:rsidRPr="00DC69AD" w:rsidRDefault="00B94DCF" w:rsidP="00C9507E">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B94DCF" w:rsidRPr="002802E5" w:rsidRDefault="00B94DCF" w:rsidP="00C9507E">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rsidR="00B94DCF" w:rsidRPr="002A196E" w:rsidRDefault="00B94DCF" w:rsidP="00B94DCF">
    <w:pPr>
      <w:pStyle w:val="Piedepgina"/>
      <w:jc w:val="center"/>
      <w:rPr>
        <w:lang w:val="fr-FR"/>
      </w:rPr>
    </w:pPr>
  </w:p>
  <w:p w:rsidR="00DB38F6" w:rsidRPr="00B94DCF" w:rsidRDefault="00DB38F6">
    <w:pPr>
      <w:pStyle w:val="Piedepgina"/>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AD" w:rsidRDefault="00600EAD" w:rsidP="00870F79">
      <w:r>
        <w:separator/>
      </w:r>
    </w:p>
  </w:footnote>
  <w:footnote w:type="continuationSeparator" w:id="0">
    <w:p w:rsidR="00600EAD" w:rsidRDefault="00600EAD" w:rsidP="00870F79">
      <w:r>
        <w:continuationSeparator/>
      </w:r>
    </w:p>
  </w:footnote>
  <w:footnote w:id="1">
    <w:p w:rsidR="00F46F36" w:rsidRPr="00173532" w:rsidRDefault="00F46F36" w:rsidP="00F46F36">
      <w:pPr>
        <w:pStyle w:val="Textonotapie"/>
        <w:rPr>
          <w:lang w:val="es-ES_tradnl"/>
        </w:rPr>
      </w:pPr>
      <w:r>
        <w:rPr>
          <w:rStyle w:val="Refdenotaalpie"/>
        </w:rPr>
        <w:footnoteRef/>
      </w:r>
      <w:r>
        <w:t xml:space="preserve"> </w:t>
      </w:r>
      <w:proofErr w:type="spellStart"/>
      <w:r>
        <w:t>Extraído</w:t>
      </w:r>
      <w:proofErr w:type="spellEnd"/>
      <w:r>
        <w:t xml:space="preserve"> del </w:t>
      </w:r>
      <w:proofErr w:type="spellStart"/>
      <w:r>
        <w:t>documento</w:t>
      </w:r>
      <w:proofErr w:type="spellEnd"/>
      <w:r>
        <w:t xml:space="preserve"> del </w:t>
      </w:r>
      <w:proofErr w:type="spellStart"/>
      <w:r>
        <w:t>Consejo</w:t>
      </w:r>
      <w:proofErr w:type="spellEnd"/>
      <w:r>
        <w:t xml:space="preserve"> EUCO XT 20004/17</w:t>
      </w:r>
      <w:r w:rsidRPr="00173532">
        <w:t xml:space="preserve"> </w:t>
      </w:r>
      <w:hyperlink r:id="rId1" w:history="1">
        <w:r w:rsidRPr="003D5A0F">
          <w:rPr>
            <w:rStyle w:val="Hipervnculo"/>
          </w:rPr>
          <w:t>http://www.consilium.europa.eu/es/press/press-releases/2017/04/29-euco-brexit-guidelines/</w:t>
        </w:r>
      </w:hyperlink>
      <w:r>
        <w:t xml:space="preserve"> </w:t>
      </w:r>
    </w:p>
  </w:footnote>
  <w:footnote w:id="2">
    <w:p w:rsidR="00222E48" w:rsidRPr="00222E48" w:rsidRDefault="00222E48">
      <w:pPr>
        <w:pStyle w:val="Textonotapie"/>
      </w:pPr>
      <w:r>
        <w:rPr>
          <w:rStyle w:val="Refdenotaalpie"/>
        </w:rPr>
        <w:footnoteRef/>
      </w:r>
      <w:r>
        <w:t xml:space="preserve"> </w:t>
      </w:r>
      <w:hyperlink r:id="rId2" w:history="1">
        <w:r w:rsidRPr="003D5A0F">
          <w:rPr>
            <w:rStyle w:val="Hipervnculo"/>
          </w:rPr>
          <w:t>https://ec.europa.eu/info/sites/info/files/recommendation-uk-eu-negotiations_3-may-2017_en.pdf</w:t>
        </w:r>
      </w:hyperlink>
      <w:r>
        <w:t xml:space="preserve"> </w:t>
      </w:r>
    </w:p>
  </w:footnote>
  <w:footnote w:id="3">
    <w:p w:rsidR="003F718F" w:rsidRPr="003F718F" w:rsidRDefault="003F718F" w:rsidP="008C7894">
      <w:pPr>
        <w:pStyle w:val="Textonotapie"/>
        <w:jc w:val="both"/>
      </w:pPr>
      <w:r>
        <w:rPr>
          <w:rStyle w:val="Refdenotaalpie"/>
        </w:rPr>
        <w:footnoteRef/>
      </w:r>
      <w:r>
        <w:t xml:space="preserve"> </w:t>
      </w:r>
      <w:r>
        <w:t xml:space="preserve">Nota </w:t>
      </w:r>
      <w:proofErr w:type="spellStart"/>
      <w:r>
        <w:t>informativa</w:t>
      </w:r>
      <w:proofErr w:type="spellEnd"/>
      <w:r>
        <w:t xml:space="preserve"> para el debate de la </w:t>
      </w:r>
      <w:proofErr w:type="spellStart"/>
      <w:r>
        <w:t>Comisión</w:t>
      </w:r>
      <w:proofErr w:type="spellEnd"/>
      <w:r>
        <w:t xml:space="preserve"> ECON sobre «Las </w:t>
      </w:r>
      <w:proofErr w:type="spellStart"/>
      <w:r>
        <w:t>repercusiones</w:t>
      </w:r>
      <w:proofErr w:type="spellEnd"/>
      <w:r>
        <w:t xml:space="preserve"> </w:t>
      </w:r>
      <w:proofErr w:type="spellStart"/>
      <w:r>
        <w:t>económicas</w:t>
      </w:r>
      <w:proofErr w:type="spellEnd"/>
      <w:r>
        <w:t xml:space="preserve"> de la </w:t>
      </w:r>
      <w:proofErr w:type="spellStart"/>
      <w:r>
        <w:t>retirada</w:t>
      </w:r>
      <w:proofErr w:type="spellEnd"/>
      <w:r>
        <w:t xml:space="preserve"> del </w:t>
      </w:r>
      <w:proofErr w:type="spellStart"/>
      <w:r>
        <w:t>Reino</w:t>
      </w:r>
      <w:proofErr w:type="spellEnd"/>
      <w:r>
        <w:t xml:space="preserve"> </w:t>
      </w:r>
      <w:proofErr w:type="spellStart"/>
      <w:r>
        <w:t>Unido</w:t>
      </w:r>
      <w:proofErr w:type="spellEnd"/>
      <w:r>
        <w:t xml:space="preserve"> de la Unión </w:t>
      </w:r>
      <w:proofErr w:type="spellStart"/>
      <w:r>
        <w:t>Europea</w:t>
      </w:r>
      <w:proofErr w:type="spellEnd"/>
      <w:r>
        <w:t xml:space="preserve"> para los </w:t>
      </w:r>
      <w:proofErr w:type="spellStart"/>
      <w:r>
        <w:t>entes</w:t>
      </w:r>
      <w:proofErr w:type="spellEnd"/>
      <w:r>
        <w:t xml:space="preserve"> </w:t>
      </w:r>
      <w:proofErr w:type="spellStart"/>
      <w:r>
        <w:t>locales</w:t>
      </w:r>
      <w:proofErr w:type="spellEnd"/>
      <w:r>
        <w:t xml:space="preserve"> y </w:t>
      </w:r>
      <w:proofErr w:type="spellStart"/>
      <w:r>
        <w:t>regionales</w:t>
      </w:r>
      <w:proofErr w:type="spellEnd"/>
      <w:r>
        <w:t>»</w:t>
      </w:r>
      <w:r>
        <w:t xml:space="preserve"> </w:t>
      </w:r>
      <w:proofErr w:type="spellStart"/>
      <w:r>
        <w:t>Reunión</w:t>
      </w:r>
      <w:proofErr w:type="spellEnd"/>
      <w:r>
        <w:t xml:space="preserve"> de la </w:t>
      </w:r>
      <w:proofErr w:type="spellStart"/>
      <w:r>
        <w:t>Comisión</w:t>
      </w:r>
      <w:proofErr w:type="spellEnd"/>
      <w:r>
        <w:t xml:space="preserve"> ECON, 3 de </w:t>
      </w:r>
      <w:proofErr w:type="spellStart"/>
      <w:r>
        <w:t>mayo</w:t>
      </w:r>
      <w:proofErr w:type="spellEnd"/>
      <w:r>
        <w:t xml:space="preserve"> de 2017</w:t>
      </w:r>
      <w:r>
        <w:t>.</w:t>
      </w:r>
    </w:p>
  </w:footnote>
  <w:footnote w:id="4">
    <w:p w:rsidR="00A51B56" w:rsidRPr="00764388" w:rsidRDefault="00A51B56" w:rsidP="00A51B56">
      <w:pPr>
        <w:pStyle w:val="Textonotapie"/>
        <w:rPr>
          <w:lang w:val="en-US"/>
        </w:rPr>
      </w:pPr>
      <w:r>
        <w:rPr>
          <w:rStyle w:val="Refdenotaalpie"/>
        </w:rPr>
        <w:footnoteRef/>
      </w:r>
      <w:r w:rsidRPr="00764388">
        <w:rPr>
          <w:rStyle w:val="Refdenotaalpie"/>
          <w:lang w:val="en-US"/>
        </w:rPr>
        <w:t xml:space="preserve"> </w:t>
      </w:r>
      <w:r w:rsidRPr="00764388">
        <w:rPr>
          <w:lang w:val="en-US"/>
        </w:rPr>
        <w:tab/>
        <w:t xml:space="preserve">PELKMANS, Jacques, Senior Fellow CEPS, </w:t>
      </w:r>
      <w:r w:rsidRPr="00764388">
        <w:rPr>
          <w:i/>
          <w:lang w:val="en-US"/>
        </w:rPr>
        <w:t xml:space="preserve">Economic Impact of </w:t>
      </w:r>
      <w:proofErr w:type="spellStart"/>
      <w:r w:rsidRPr="00764388">
        <w:rPr>
          <w:i/>
          <w:lang w:val="en-US"/>
        </w:rPr>
        <w:t>Brexit</w:t>
      </w:r>
      <w:proofErr w:type="spellEnd"/>
      <w:r w:rsidRPr="00764388">
        <w:rPr>
          <w:i/>
          <w:lang w:val="en-US"/>
        </w:rPr>
        <w:t xml:space="preserve"> on EU27, Sectorial Consequences</w:t>
      </w:r>
      <w:r w:rsidRPr="00764388">
        <w:rPr>
          <w:lang w:val="en-US"/>
        </w:rPr>
        <w:t xml:space="preserve">, IMCO workshop on Implications of </w:t>
      </w:r>
      <w:proofErr w:type="spellStart"/>
      <w:r w:rsidRPr="00764388">
        <w:rPr>
          <w:lang w:val="en-US"/>
        </w:rPr>
        <w:t>Brexit</w:t>
      </w:r>
      <w:proofErr w:type="spellEnd"/>
      <w:r w:rsidRPr="00764388">
        <w:rPr>
          <w:lang w:val="en-US"/>
        </w:rPr>
        <w:t xml:space="preserve">, European Parliament, 28 February 2017, available </w:t>
      </w:r>
      <w:hyperlink r:id="rId3">
        <w:r w:rsidRPr="00764388">
          <w:rPr>
            <w:rStyle w:val="Hipervnculo"/>
            <w:lang w:val="en-US"/>
          </w:rPr>
          <w:t>here</w:t>
        </w:r>
      </w:hyperlink>
    </w:p>
  </w:footnote>
  <w:footnote w:id="5">
    <w:p w:rsidR="00A51B56" w:rsidRPr="00764388" w:rsidRDefault="00A51B56" w:rsidP="00A51B56">
      <w:pPr>
        <w:pStyle w:val="Textonotapie"/>
        <w:rPr>
          <w:lang w:val="en-US"/>
        </w:rPr>
      </w:pPr>
      <w:r>
        <w:rPr>
          <w:rStyle w:val="Refdenotaalpie"/>
        </w:rPr>
        <w:footnoteRef/>
      </w:r>
      <w:r w:rsidRPr="00764388">
        <w:rPr>
          <w:rStyle w:val="Refdenotaalpie"/>
          <w:lang w:val="en-US"/>
        </w:rPr>
        <w:t xml:space="preserve"> </w:t>
      </w:r>
      <w:r w:rsidRPr="00764388">
        <w:rPr>
          <w:lang w:val="en-US"/>
        </w:rPr>
        <w:tab/>
        <w:t xml:space="preserve">K GOVERNMENT, HM Treasury, </w:t>
      </w:r>
      <w:r w:rsidRPr="00764388">
        <w:rPr>
          <w:i/>
          <w:lang w:val="en-US"/>
        </w:rPr>
        <w:t>The long-term economic impact of EU membership and the alternatives</w:t>
      </w:r>
      <w:r w:rsidRPr="00764388">
        <w:rPr>
          <w:lang w:val="en-US"/>
        </w:rPr>
        <w:t xml:space="preserve">, 18 April 2016, available </w:t>
      </w:r>
      <w:hyperlink r:id="rId4">
        <w:r w:rsidRPr="00764388">
          <w:rPr>
            <w:rStyle w:val="Hipervnculo"/>
            <w:lang w:val="en-US"/>
          </w:rPr>
          <w:t>here</w:t>
        </w:r>
      </w:hyperlink>
    </w:p>
  </w:footnote>
  <w:footnote w:id="6">
    <w:p w:rsidR="00F46F36" w:rsidRPr="00F46F36" w:rsidRDefault="00F46F36">
      <w:pPr>
        <w:pStyle w:val="Textonotapie"/>
      </w:pPr>
      <w:r>
        <w:rPr>
          <w:rStyle w:val="Refdenotaalpie"/>
        </w:rPr>
        <w:footnoteRef/>
      </w:r>
      <w:r>
        <w:t xml:space="preserve"> </w:t>
      </w:r>
      <w:hyperlink r:id="rId5" w:history="1">
        <w:r w:rsidRPr="003D5A0F">
          <w:rPr>
            <w:rStyle w:val="Hipervnculo"/>
          </w:rPr>
          <w:t>https://ec.europa.eu/info/sites/info/files/recommendation-uk-eu-negotiations_3-may-2017_en.pdf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4EE" w:rsidRDefault="00AD34EE" w:rsidP="00AD34EE">
    <w:pPr>
      <w:pStyle w:val="Encabezado"/>
      <w:jc w:val="right"/>
    </w:pPr>
    <w:r w:rsidRPr="00AD34EE">
      <w:rPr>
        <w:noProof/>
        <w:lang w:val="es-ES" w:eastAsia="es-ES"/>
      </w:rPr>
      <w:drawing>
        <wp:inline distT="0" distB="0" distL="0" distR="0" wp14:anchorId="4C9BF8A6" wp14:editId="169ED046">
          <wp:extent cx="502920" cy="502920"/>
          <wp:effectExtent l="0" t="0" r="0" b="0"/>
          <wp:docPr id="2" name="Imagen 2"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78E7"/>
    <w:multiLevelType w:val="hybridMultilevel"/>
    <w:tmpl w:val="15A6E6E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1F830A58"/>
    <w:multiLevelType w:val="hybridMultilevel"/>
    <w:tmpl w:val="F2DC8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064BD2"/>
    <w:multiLevelType w:val="hybridMultilevel"/>
    <w:tmpl w:val="D696C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5102C7"/>
    <w:multiLevelType w:val="hybridMultilevel"/>
    <w:tmpl w:val="611CDBB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48AB16C1"/>
    <w:multiLevelType w:val="hybridMultilevel"/>
    <w:tmpl w:val="1DF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32601F3"/>
    <w:multiLevelType w:val="hybridMultilevel"/>
    <w:tmpl w:val="F88E0A9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63E62E15"/>
    <w:multiLevelType w:val="hybridMultilevel"/>
    <w:tmpl w:val="12A6C1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215C00"/>
    <w:multiLevelType w:val="hybridMultilevel"/>
    <w:tmpl w:val="80CCA6A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F2"/>
    <w:rsid w:val="0002569C"/>
    <w:rsid w:val="00055CB4"/>
    <w:rsid w:val="00097DEB"/>
    <w:rsid w:val="00131712"/>
    <w:rsid w:val="00173532"/>
    <w:rsid w:val="001C4F8D"/>
    <w:rsid w:val="001E235E"/>
    <w:rsid w:val="001E640F"/>
    <w:rsid w:val="00217C64"/>
    <w:rsid w:val="00222E48"/>
    <w:rsid w:val="002507A3"/>
    <w:rsid w:val="003A18C3"/>
    <w:rsid w:val="003C4487"/>
    <w:rsid w:val="003F718F"/>
    <w:rsid w:val="0041448E"/>
    <w:rsid w:val="00425BD0"/>
    <w:rsid w:val="00472F14"/>
    <w:rsid w:val="00490847"/>
    <w:rsid w:val="004E5EBB"/>
    <w:rsid w:val="00501C65"/>
    <w:rsid w:val="0053422E"/>
    <w:rsid w:val="00584889"/>
    <w:rsid w:val="005B14A5"/>
    <w:rsid w:val="005E6E56"/>
    <w:rsid w:val="00600EAD"/>
    <w:rsid w:val="00660D48"/>
    <w:rsid w:val="006C1E36"/>
    <w:rsid w:val="006E7BDA"/>
    <w:rsid w:val="00705840"/>
    <w:rsid w:val="007278B7"/>
    <w:rsid w:val="00753841"/>
    <w:rsid w:val="007A57C5"/>
    <w:rsid w:val="008133EC"/>
    <w:rsid w:val="00844054"/>
    <w:rsid w:val="00870F79"/>
    <w:rsid w:val="0087243E"/>
    <w:rsid w:val="00880825"/>
    <w:rsid w:val="00883998"/>
    <w:rsid w:val="008A3C56"/>
    <w:rsid w:val="008C7894"/>
    <w:rsid w:val="008D7C95"/>
    <w:rsid w:val="008E4053"/>
    <w:rsid w:val="009017E5"/>
    <w:rsid w:val="00940FBD"/>
    <w:rsid w:val="009A040D"/>
    <w:rsid w:val="009D776D"/>
    <w:rsid w:val="00A00E18"/>
    <w:rsid w:val="00A10FC6"/>
    <w:rsid w:val="00A51B56"/>
    <w:rsid w:val="00A56133"/>
    <w:rsid w:val="00A651E9"/>
    <w:rsid w:val="00A834AD"/>
    <w:rsid w:val="00AD34EE"/>
    <w:rsid w:val="00B3274C"/>
    <w:rsid w:val="00B404C0"/>
    <w:rsid w:val="00B94D6A"/>
    <w:rsid w:val="00B94DCF"/>
    <w:rsid w:val="00BF5E5B"/>
    <w:rsid w:val="00C629F6"/>
    <w:rsid w:val="00C74831"/>
    <w:rsid w:val="00D53C27"/>
    <w:rsid w:val="00D97CD0"/>
    <w:rsid w:val="00DB38F6"/>
    <w:rsid w:val="00DC5BF2"/>
    <w:rsid w:val="00DF1B23"/>
    <w:rsid w:val="00E01A91"/>
    <w:rsid w:val="00E1430F"/>
    <w:rsid w:val="00E70994"/>
    <w:rsid w:val="00EC66B0"/>
    <w:rsid w:val="00ED60DC"/>
    <w:rsid w:val="00F46F36"/>
    <w:rsid w:val="00F72D58"/>
    <w:rsid w:val="00FA53C3"/>
    <w:rsid w:val="00FB27FE"/>
    <w:rsid w:val="00FD73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649C"/>
  <w15:docId w15:val="{8988FFA1-52A0-4717-ADB3-21DA2BC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F2"/>
    <w:pPr>
      <w:spacing w:after="0" w:line="240" w:lineRule="auto"/>
    </w:pPr>
    <w:rPr>
      <w:rFonts w:ascii="Times New Roman" w:eastAsia="Times New Roman" w:hAnsi="Times New Roman" w:cs="Times New Roman"/>
      <w:sz w:val="24"/>
      <w:szCs w:val="24"/>
      <w:lang w:val="eu-ES" w:eastAsia="eu-ES"/>
    </w:rPr>
  </w:style>
  <w:style w:type="paragraph" w:styleId="Ttulo1">
    <w:name w:val="heading 1"/>
    <w:basedOn w:val="Normal"/>
    <w:next w:val="Normal"/>
    <w:link w:val="Ttulo1Car"/>
    <w:uiPriority w:val="9"/>
    <w:qFormat/>
    <w:rsid w:val="00EC66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870F79"/>
    <w:pPr>
      <w:keepNext/>
      <w:tabs>
        <w:tab w:val="center" w:pos="4320"/>
      </w:tabs>
      <w:spacing w:before="120" w:after="120"/>
      <w:jc w:val="center"/>
      <w:outlineLvl w:val="1"/>
    </w:pPr>
    <w:rPr>
      <w:rFonts w:ascii="Arial" w:hAnsi="Arial"/>
      <w:b/>
      <w:sz w:val="2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BF2"/>
    <w:pPr>
      <w:ind w:left="720"/>
      <w:contextualSpacing/>
    </w:pPr>
  </w:style>
  <w:style w:type="table" w:customStyle="1" w:styleId="Tabladelista4-nfasis11">
    <w:name w:val="Tabla de lista 4 - Énfasis 11"/>
    <w:basedOn w:val="Tablanormal"/>
    <w:uiPriority w:val="49"/>
    <w:rsid w:val="00DC5BF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rsid w:val="00870F79"/>
    <w:rPr>
      <w:rFonts w:ascii="Arial" w:eastAsia="Times New Roman" w:hAnsi="Arial" w:cs="Times New Roman"/>
      <w:b/>
      <w:szCs w:val="20"/>
      <w:lang w:val="es-ES_tradnl" w:eastAsia="es-ES"/>
    </w:rPr>
  </w:style>
  <w:style w:type="character" w:styleId="Hipervnculo">
    <w:name w:val="Hyperlink"/>
    <w:uiPriority w:val="99"/>
    <w:rsid w:val="00870F79"/>
    <w:rPr>
      <w:rFonts w:cs="Times New Roman"/>
      <w:color w:val="0000FF"/>
      <w:u w:val="single"/>
    </w:rPr>
  </w:style>
  <w:style w:type="paragraph" w:styleId="Textonotapie">
    <w:name w:val="footnote text"/>
    <w:basedOn w:val="Normal"/>
    <w:link w:val="TextonotapieCar"/>
    <w:unhideWhenUsed/>
    <w:qFormat/>
    <w:rsid w:val="00870F79"/>
    <w:rPr>
      <w:sz w:val="20"/>
      <w:szCs w:val="20"/>
    </w:rPr>
  </w:style>
  <w:style w:type="character" w:customStyle="1" w:styleId="TextonotapieCar">
    <w:name w:val="Texto nota pie Car"/>
    <w:basedOn w:val="Fuentedeprrafopredeter"/>
    <w:link w:val="Textonotapie"/>
    <w:rsid w:val="00870F79"/>
    <w:rPr>
      <w:rFonts w:ascii="Times New Roman" w:eastAsia="Times New Roman" w:hAnsi="Times New Roman" w:cs="Times New Roman"/>
      <w:sz w:val="20"/>
      <w:szCs w:val="20"/>
      <w:lang w:val="eu-ES" w:eastAsia="eu-ES"/>
    </w:rPr>
  </w:style>
  <w:style w:type="character" w:styleId="Refdenotaalpie">
    <w:name w:val="footnote reference"/>
    <w:basedOn w:val="Fuentedeprrafopredeter"/>
    <w:unhideWhenUsed/>
    <w:qFormat/>
    <w:rsid w:val="00870F79"/>
    <w:rPr>
      <w:vertAlign w:val="superscript"/>
    </w:rPr>
  </w:style>
  <w:style w:type="table" w:styleId="Sombreadomedio1-nfasis5">
    <w:name w:val="Medium Shading 1 Accent 5"/>
    <w:basedOn w:val="Tablanormal"/>
    <w:uiPriority w:val="63"/>
    <w:rsid w:val="003C448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uiPriority w:val="9"/>
    <w:rsid w:val="00EC66B0"/>
    <w:rPr>
      <w:rFonts w:asciiTheme="majorHAnsi" w:eastAsiaTheme="majorEastAsia" w:hAnsiTheme="majorHAnsi" w:cstheme="majorBidi"/>
      <w:b/>
      <w:bCs/>
      <w:color w:val="2E74B5" w:themeColor="accent1" w:themeShade="BF"/>
      <w:sz w:val="28"/>
      <w:szCs w:val="28"/>
      <w:lang w:val="eu-ES" w:eastAsia="eu-ES"/>
    </w:rPr>
  </w:style>
  <w:style w:type="paragraph" w:styleId="TtuloTDC">
    <w:name w:val="TOC Heading"/>
    <w:basedOn w:val="Ttulo1"/>
    <w:next w:val="Normal"/>
    <w:uiPriority w:val="39"/>
    <w:semiHidden/>
    <w:unhideWhenUsed/>
    <w:qFormat/>
    <w:rsid w:val="00EC66B0"/>
    <w:pPr>
      <w:spacing w:line="276" w:lineRule="auto"/>
      <w:jc w:val="both"/>
      <w:outlineLvl w:val="9"/>
    </w:pPr>
    <w:rPr>
      <w:rFonts w:ascii="Cambria" w:eastAsia="Times New Roman" w:hAnsi="Cambria" w:cs="Times New Roman"/>
      <w:color w:val="365F91"/>
      <w:lang w:eastAsia="en-US"/>
    </w:rPr>
  </w:style>
  <w:style w:type="paragraph" w:styleId="TDC1">
    <w:name w:val="toc 1"/>
    <w:basedOn w:val="Normal"/>
    <w:next w:val="Normal"/>
    <w:autoRedefine/>
    <w:uiPriority w:val="39"/>
    <w:qFormat/>
    <w:rsid w:val="00EC66B0"/>
    <w:pPr>
      <w:tabs>
        <w:tab w:val="right" w:leader="dot" w:pos="8497"/>
      </w:tabs>
      <w:spacing w:before="120" w:after="120"/>
      <w:jc w:val="both"/>
    </w:pPr>
    <w:rPr>
      <w:rFonts w:ascii="Calibri" w:hAnsi="Calibri"/>
      <w:b/>
      <w:bCs/>
      <w:caps/>
      <w:noProof/>
      <w:sz w:val="20"/>
    </w:rPr>
  </w:style>
  <w:style w:type="paragraph" w:styleId="TDC2">
    <w:name w:val="toc 2"/>
    <w:basedOn w:val="Normal"/>
    <w:next w:val="Normal"/>
    <w:autoRedefine/>
    <w:uiPriority w:val="39"/>
    <w:unhideWhenUsed/>
    <w:rsid w:val="00EC66B0"/>
    <w:pPr>
      <w:spacing w:after="100"/>
      <w:ind w:left="240"/>
    </w:pPr>
    <w:rPr>
      <w:rFonts w:asciiTheme="minorHAnsi" w:eastAsiaTheme="minorHAnsi" w:hAnsiTheme="minorHAnsi" w:cstheme="minorBidi"/>
      <w:lang w:val="es-ES_tradnl" w:eastAsia="en-US"/>
    </w:rPr>
  </w:style>
  <w:style w:type="paragraph" w:styleId="TDC3">
    <w:name w:val="toc 3"/>
    <w:basedOn w:val="Normal"/>
    <w:next w:val="Normal"/>
    <w:autoRedefine/>
    <w:uiPriority w:val="39"/>
    <w:unhideWhenUsed/>
    <w:rsid w:val="00EC66B0"/>
    <w:pPr>
      <w:spacing w:after="100"/>
      <w:ind w:left="480"/>
    </w:pPr>
    <w:rPr>
      <w:rFonts w:asciiTheme="minorHAnsi" w:eastAsiaTheme="minorHAnsi" w:hAnsiTheme="minorHAnsi" w:cstheme="minorBidi"/>
      <w:lang w:val="es-ES_tradnl" w:eastAsia="en-US"/>
    </w:rPr>
  </w:style>
  <w:style w:type="paragraph" w:styleId="Encabezado">
    <w:name w:val="header"/>
    <w:basedOn w:val="Normal"/>
    <w:link w:val="EncabezadoCar"/>
    <w:uiPriority w:val="99"/>
    <w:unhideWhenUsed/>
    <w:rsid w:val="00DB38F6"/>
    <w:pPr>
      <w:tabs>
        <w:tab w:val="center" w:pos="4252"/>
        <w:tab w:val="right" w:pos="8504"/>
      </w:tabs>
    </w:pPr>
  </w:style>
  <w:style w:type="character" w:customStyle="1" w:styleId="EncabezadoCar">
    <w:name w:val="Encabezado Car"/>
    <w:basedOn w:val="Fuentedeprrafopredeter"/>
    <w:link w:val="Encabezado"/>
    <w:uiPriority w:val="99"/>
    <w:rsid w:val="00DB38F6"/>
    <w:rPr>
      <w:rFonts w:ascii="Times New Roman" w:eastAsia="Times New Roman" w:hAnsi="Times New Roman" w:cs="Times New Roman"/>
      <w:sz w:val="24"/>
      <w:szCs w:val="24"/>
      <w:lang w:val="eu-ES" w:eastAsia="eu-ES"/>
    </w:rPr>
  </w:style>
  <w:style w:type="paragraph" w:styleId="Piedepgina">
    <w:name w:val="footer"/>
    <w:basedOn w:val="Normal"/>
    <w:link w:val="PiedepginaCar"/>
    <w:uiPriority w:val="99"/>
    <w:unhideWhenUsed/>
    <w:rsid w:val="00DB38F6"/>
    <w:pPr>
      <w:tabs>
        <w:tab w:val="center" w:pos="4252"/>
        <w:tab w:val="right" w:pos="8504"/>
      </w:tabs>
    </w:pPr>
  </w:style>
  <w:style w:type="character" w:customStyle="1" w:styleId="PiedepginaCar">
    <w:name w:val="Pie de página Car"/>
    <w:basedOn w:val="Fuentedeprrafopredeter"/>
    <w:link w:val="Piedepgina"/>
    <w:uiPriority w:val="99"/>
    <w:rsid w:val="00DB38F6"/>
    <w:rPr>
      <w:rFonts w:ascii="Times New Roman" w:eastAsia="Times New Roman" w:hAnsi="Times New Roman" w:cs="Times New Roman"/>
      <w:sz w:val="24"/>
      <w:szCs w:val="24"/>
      <w:lang w:val="eu-ES" w:eastAsia="eu-ES"/>
    </w:rPr>
  </w:style>
  <w:style w:type="table" w:styleId="Tablaconcuadrcula">
    <w:name w:val="Table Grid"/>
    <w:basedOn w:val="Tablanormal"/>
    <w:uiPriority w:val="39"/>
    <w:rsid w:val="00B94DCF"/>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4DCF"/>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DCF"/>
    <w:rPr>
      <w:rFonts w:ascii="Tahoma" w:eastAsia="Times New Roman" w:hAnsi="Tahoma" w:cs="Tahoma"/>
      <w:sz w:val="16"/>
      <w:szCs w:val="16"/>
      <w:lang w:val="eu-ES" w:eastAsia="eu-ES"/>
    </w:rPr>
  </w:style>
  <w:style w:type="character" w:styleId="Hipervnculovisitado">
    <w:name w:val="FollowedHyperlink"/>
    <w:basedOn w:val="Fuentedeprrafopredeter"/>
    <w:uiPriority w:val="99"/>
    <w:semiHidden/>
    <w:unhideWhenUsed/>
    <w:rsid w:val="008D7C95"/>
    <w:rPr>
      <w:color w:val="954F72" w:themeColor="followedHyperlink"/>
      <w:u w:val="single"/>
    </w:rPr>
  </w:style>
  <w:style w:type="paragraph" w:customStyle="1" w:styleId="Default">
    <w:name w:val="Default"/>
    <w:rsid w:val="008D7C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rafodelista1">
    <w:name w:val="Párrafo de lista1"/>
    <w:basedOn w:val="Normal"/>
    <w:uiPriority w:val="99"/>
    <w:qFormat/>
    <w:rsid w:val="0041448E"/>
    <w:pPr>
      <w:ind w:left="720"/>
      <w:contextualSpacing/>
    </w:pPr>
  </w:style>
  <w:style w:type="paragraph" w:styleId="NormalWeb">
    <w:name w:val="Normal (Web)"/>
    <w:basedOn w:val="Normal"/>
    <w:uiPriority w:val="99"/>
    <w:unhideWhenUsed/>
    <w:rsid w:val="001C4F8D"/>
    <w:pPr>
      <w:spacing w:before="100" w:beforeAutospacing="1" w:after="100" w:afterAutospacing="1"/>
    </w:pPr>
    <w:rPr>
      <w:lang w:val="es-ES" w:eastAsia="es-ES"/>
    </w:rPr>
  </w:style>
  <w:style w:type="character" w:customStyle="1" w:styleId="m-7914539093173117169apple-converted-space">
    <w:name w:val="m_-7914539093173117169apple-converted-space"/>
    <w:basedOn w:val="Fuentedeprrafopredeter"/>
    <w:rsid w:val="001C4F8D"/>
  </w:style>
  <w:style w:type="table" w:styleId="Cuadrculaclara-nfasis5">
    <w:name w:val="Light Grid Accent 5"/>
    <w:basedOn w:val="Tablanormal"/>
    <w:uiPriority w:val="62"/>
    <w:rsid w:val="00AD34E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pple-converted-space">
    <w:name w:val="apple-converted-space"/>
    <w:basedOn w:val="Fuentedeprrafopredeter"/>
    <w:rsid w:val="00FD73F2"/>
  </w:style>
  <w:style w:type="character" w:styleId="Textoennegrita">
    <w:name w:val="Strong"/>
    <w:basedOn w:val="Fuentedeprrafopredeter"/>
    <w:uiPriority w:val="22"/>
    <w:qFormat/>
    <w:rsid w:val="005B14A5"/>
    <w:rPr>
      <w:b/>
      <w:bCs/>
    </w:rPr>
  </w:style>
  <w:style w:type="character" w:customStyle="1" w:styleId="footnote0020referencechar">
    <w:name w:val="footnote_0020reference__char"/>
    <w:basedOn w:val="Fuentedeprrafopredeter"/>
    <w:rsid w:val="003F718F"/>
  </w:style>
  <w:style w:type="character" w:customStyle="1" w:styleId="normalchar">
    <w:name w:val="normal__char"/>
    <w:basedOn w:val="Fuentedeprrafopredeter"/>
    <w:rsid w:val="003F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70948">
      <w:bodyDiv w:val="1"/>
      <w:marLeft w:val="0"/>
      <w:marRight w:val="0"/>
      <w:marTop w:val="0"/>
      <w:marBottom w:val="0"/>
      <w:divBdr>
        <w:top w:val="none" w:sz="0" w:space="0" w:color="auto"/>
        <w:left w:val="none" w:sz="0" w:space="0" w:color="auto"/>
        <w:bottom w:val="none" w:sz="0" w:space="0" w:color="auto"/>
        <w:right w:val="none" w:sz="0" w:space="0" w:color="auto"/>
      </w:divBdr>
    </w:div>
    <w:div w:id="1025642059">
      <w:bodyDiv w:val="1"/>
      <w:marLeft w:val="0"/>
      <w:marRight w:val="0"/>
      <w:marTop w:val="0"/>
      <w:marBottom w:val="0"/>
      <w:divBdr>
        <w:top w:val="none" w:sz="0" w:space="0" w:color="auto"/>
        <w:left w:val="none" w:sz="0" w:space="0" w:color="auto"/>
        <w:bottom w:val="none" w:sz="0" w:space="0" w:color="auto"/>
        <w:right w:val="none" w:sz="0" w:space="0" w:color="auto"/>
      </w:divBdr>
    </w:div>
    <w:div w:id="15959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committees/en/imco/events-workshops.html?id=20170214WKS00341" TargetMode="External"/><Relationship Id="rId2" Type="http://schemas.openxmlformats.org/officeDocument/2006/relationships/hyperlink" Target="https://ec.europa.eu/info/sites/info/files/recommendation-uk-eu-negotiations_3-may-2017_en.pdf" TargetMode="External"/><Relationship Id="rId1" Type="http://schemas.openxmlformats.org/officeDocument/2006/relationships/hyperlink" Target="http://www.consilium.europa.eu/es/press/press-releases/2017/04/29-euco-brexit-guidelines/" TargetMode="External"/><Relationship Id="rId5" Type="http://schemas.openxmlformats.org/officeDocument/2006/relationships/hyperlink" Target="https://ec.europa.eu/info/sites/info/files/recommendation-uk-eu-negotiations_3-may-2017_en.pdf" TargetMode="External"/><Relationship Id="rId4" Type="http://schemas.openxmlformats.org/officeDocument/2006/relationships/hyperlink" Target="https://www.gov.uk/government/publications/hm-treasury-analysis-the-long-term-economic-impact-of-eu-membership-and-the-altern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76FF-E670-429E-9927-502FA9D8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1960</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AMEZAGA, Mikel</dc:creator>
  <cp:lastModifiedBy>IRUJO AMEZAGA, Mikel</cp:lastModifiedBy>
  <cp:revision>7</cp:revision>
  <dcterms:created xsi:type="dcterms:W3CDTF">2017-05-04T14:15:00Z</dcterms:created>
  <dcterms:modified xsi:type="dcterms:W3CDTF">2017-05-04T14:55:00Z</dcterms:modified>
</cp:coreProperties>
</file>