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A20" w:rsidRPr="00E9370A" w:rsidRDefault="004C1A20" w:rsidP="00E9370A">
      <w:pPr>
        <w:spacing w:after="0" w:line="240" w:lineRule="auto"/>
        <w:jc w:val="both"/>
        <w:rPr>
          <w:rFonts w:ascii="Times New Roman" w:hAnsi="Times New Roman" w:cs="Times New Roman"/>
          <w:sz w:val="24"/>
          <w:szCs w:val="24"/>
        </w:rPr>
      </w:pPr>
    </w:p>
    <w:p w:rsidR="00E96B33" w:rsidRPr="00E9370A" w:rsidRDefault="00E96B33" w:rsidP="00E9370A">
      <w:pPr>
        <w:spacing w:after="0" w:line="240" w:lineRule="auto"/>
        <w:jc w:val="both"/>
        <w:rPr>
          <w:rFonts w:ascii="Times New Roman" w:hAnsi="Times New Roman" w:cs="Times New Roman"/>
          <w:sz w:val="24"/>
          <w:szCs w:val="24"/>
          <w:lang w:val="en-GB"/>
        </w:rPr>
      </w:pPr>
    </w:p>
    <w:p w:rsidR="00E9370A" w:rsidRPr="00E9370A" w:rsidRDefault="00E9370A" w:rsidP="00BB2242">
      <w:pPr>
        <w:spacing w:after="0" w:line="240" w:lineRule="auto"/>
        <w:jc w:val="center"/>
        <w:rPr>
          <w:rFonts w:ascii="Times New Roman" w:hAnsi="Times New Roman" w:cs="Times New Roman"/>
          <w:b/>
          <w:sz w:val="28"/>
          <w:szCs w:val="28"/>
        </w:rPr>
      </w:pPr>
      <w:r w:rsidRPr="00E9370A">
        <w:rPr>
          <w:rFonts w:ascii="Times New Roman" w:hAnsi="Times New Roman" w:cs="Times New Roman"/>
          <w:b/>
          <w:sz w:val="28"/>
          <w:szCs w:val="28"/>
        </w:rPr>
        <w:t>Superar los obstáculos transfronterizos para impulsar el crecimiento en las regiones fronterizas de la UE</w:t>
      </w:r>
    </w:p>
    <w:p w:rsidR="003A4B4E" w:rsidRPr="00E9370A" w:rsidRDefault="003A4B4E" w:rsidP="00E9370A">
      <w:pPr>
        <w:spacing w:after="0" w:line="240" w:lineRule="auto"/>
        <w:jc w:val="center"/>
        <w:rPr>
          <w:rFonts w:ascii="Times New Roman" w:hAnsi="Times New Roman" w:cs="Times New Roman"/>
          <w:b/>
          <w:sz w:val="28"/>
          <w:szCs w:val="28"/>
        </w:rPr>
      </w:pPr>
    </w:p>
    <w:p w:rsidR="007A0500" w:rsidRPr="00E9370A" w:rsidRDefault="007A0500" w:rsidP="00E9370A">
      <w:pPr>
        <w:spacing w:after="0" w:line="240" w:lineRule="auto"/>
        <w:jc w:val="both"/>
        <w:rPr>
          <w:rFonts w:ascii="Times New Roman" w:hAnsi="Times New Roman" w:cs="Times New Roman"/>
          <w:b/>
          <w:sz w:val="24"/>
          <w:szCs w:val="24"/>
        </w:rPr>
      </w:pPr>
    </w:p>
    <w:p w:rsidR="007A0500" w:rsidRPr="00E9370A" w:rsidRDefault="007A0500" w:rsidP="00E9370A">
      <w:pPr>
        <w:spacing w:after="0" w:line="240" w:lineRule="auto"/>
        <w:jc w:val="both"/>
        <w:rPr>
          <w:rFonts w:ascii="Times New Roman" w:hAnsi="Times New Roman" w:cs="Times New Roman"/>
          <w:b/>
          <w:sz w:val="24"/>
          <w:szCs w:val="24"/>
        </w:rPr>
      </w:pPr>
    </w:p>
    <w:p w:rsidR="00774535" w:rsidRPr="00E9370A" w:rsidRDefault="00774535" w:rsidP="00E9370A">
      <w:pPr>
        <w:spacing w:after="0" w:line="240" w:lineRule="auto"/>
        <w:jc w:val="both"/>
        <w:rPr>
          <w:rFonts w:ascii="Times New Roman" w:hAnsi="Times New Roman" w:cs="Times New Roman"/>
          <w:b/>
          <w:sz w:val="24"/>
          <w:szCs w:val="24"/>
        </w:rPr>
      </w:pPr>
    </w:p>
    <w:p w:rsidR="00774535" w:rsidRPr="00E9370A" w:rsidRDefault="00774535" w:rsidP="00E9370A">
      <w:pPr>
        <w:spacing w:after="0" w:line="240" w:lineRule="auto"/>
        <w:jc w:val="both"/>
        <w:rPr>
          <w:rFonts w:ascii="Times New Roman" w:hAnsi="Times New Roman" w:cs="Times New Roman"/>
          <w:i/>
          <w:sz w:val="24"/>
          <w:szCs w:val="24"/>
        </w:rPr>
      </w:pPr>
      <w:r w:rsidRPr="00E9370A">
        <w:rPr>
          <w:rFonts w:ascii="Times New Roman" w:hAnsi="Times New Roman" w:cs="Times New Roman"/>
          <w:i/>
        </w:rPr>
        <w:t xml:space="preserve">Ficha resumen sobre a Comunicación de la Comisión: </w:t>
      </w:r>
      <w:proofErr w:type="spellStart"/>
      <w:r w:rsidR="00E9370A" w:rsidRPr="00E9370A">
        <w:rPr>
          <w:rFonts w:ascii="Times New Roman" w:hAnsi="Times New Roman" w:cs="Times New Roman"/>
          <w:i/>
        </w:rPr>
        <w:t>Boosting</w:t>
      </w:r>
      <w:proofErr w:type="spellEnd"/>
      <w:r w:rsidR="00E9370A" w:rsidRPr="00E9370A">
        <w:rPr>
          <w:rFonts w:ascii="Times New Roman" w:hAnsi="Times New Roman" w:cs="Times New Roman"/>
          <w:i/>
        </w:rPr>
        <w:t xml:space="preserve"> </w:t>
      </w:r>
      <w:proofErr w:type="spellStart"/>
      <w:r w:rsidR="00E9370A" w:rsidRPr="00E9370A">
        <w:rPr>
          <w:rFonts w:ascii="Times New Roman" w:hAnsi="Times New Roman" w:cs="Times New Roman"/>
          <w:i/>
        </w:rPr>
        <w:t>growth</w:t>
      </w:r>
      <w:proofErr w:type="spellEnd"/>
      <w:r w:rsidR="00E9370A" w:rsidRPr="00E9370A">
        <w:rPr>
          <w:rFonts w:ascii="Times New Roman" w:hAnsi="Times New Roman" w:cs="Times New Roman"/>
          <w:i/>
        </w:rPr>
        <w:t xml:space="preserve"> and </w:t>
      </w:r>
      <w:proofErr w:type="spellStart"/>
      <w:r w:rsidR="00E9370A" w:rsidRPr="00E9370A">
        <w:rPr>
          <w:rFonts w:ascii="Times New Roman" w:hAnsi="Times New Roman" w:cs="Times New Roman"/>
          <w:i/>
        </w:rPr>
        <w:t>cohesion</w:t>
      </w:r>
      <w:proofErr w:type="spellEnd"/>
      <w:r w:rsidR="00E9370A" w:rsidRPr="00E9370A">
        <w:rPr>
          <w:rFonts w:ascii="Times New Roman" w:hAnsi="Times New Roman" w:cs="Times New Roman"/>
          <w:i/>
        </w:rPr>
        <w:t xml:space="preserve"> in EU </w:t>
      </w:r>
      <w:proofErr w:type="spellStart"/>
      <w:r w:rsidR="00E9370A" w:rsidRPr="00E9370A">
        <w:rPr>
          <w:rFonts w:ascii="Times New Roman" w:hAnsi="Times New Roman" w:cs="Times New Roman"/>
          <w:i/>
        </w:rPr>
        <w:t>border</w:t>
      </w:r>
      <w:proofErr w:type="spellEnd"/>
      <w:r w:rsidR="00E9370A" w:rsidRPr="00E9370A">
        <w:rPr>
          <w:rFonts w:ascii="Times New Roman" w:hAnsi="Times New Roman" w:cs="Times New Roman"/>
          <w:i/>
        </w:rPr>
        <w:t xml:space="preserve"> </w:t>
      </w:r>
      <w:proofErr w:type="spellStart"/>
      <w:r w:rsidR="00E9370A" w:rsidRPr="00E9370A">
        <w:rPr>
          <w:rFonts w:ascii="Times New Roman" w:hAnsi="Times New Roman" w:cs="Times New Roman"/>
          <w:i/>
        </w:rPr>
        <w:t>regions</w:t>
      </w:r>
      <w:proofErr w:type="spellEnd"/>
      <w:r w:rsidR="00E9370A" w:rsidRPr="00E9370A">
        <w:rPr>
          <w:rFonts w:ascii="Times New Roman" w:hAnsi="Times New Roman" w:cs="Times New Roman"/>
          <w:i/>
        </w:rPr>
        <w:t xml:space="preserve"> </w:t>
      </w:r>
      <w:r w:rsidRPr="00E9370A">
        <w:rPr>
          <w:rFonts w:ascii="Times New Roman" w:hAnsi="Times New Roman" w:cs="Times New Roman"/>
          <w:i/>
        </w:rPr>
        <w:t>(</w:t>
      </w:r>
      <w:hyperlink r:id="rId9" w:history="1">
        <w:proofErr w:type="gramStart"/>
        <w:r w:rsidR="00E9370A" w:rsidRPr="00E9370A">
          <w:rPr>
            <w:rStyle w:val="Hipervnculo"/>
            <w:rFonts w:ascii="Times New Roman" w:hAnsi="Times New Roman" w:cs="Times New Roman"/>
          </w:rPr>
          <w:t>COM(</w:t>
        </w:r>
        <w:proofErr w:type="gramEnd"/>
        <w:r w:rsidR="00E9370A" w:rsidRPr="00E9370A">
          <w:rPr>
            <w:rStyle w:val="Hipervnculo"/>
            <w:rFonts w:ascii="Times New Roman" w:hAnsi="Times New Roman" w:cs="Times New Roman"/>
          </w:rPr>
          <w:t>2017) 534</w:t>
        </w:r>
        <w:r w:rsidRPr="00E9370A">
          <w:rPr>
            <w:rStyle w:val="Hipervnculo"/>
            <w:rFonts w:ascii="Times New Roman" w:hAnsi="Times New Roman" w:cs="Times New Roman"/>
          </w:rPr>
          <w:t xml:space="preserve"> final</w:t>
        </w:r>
      </w:hyperlink>
      <w:r w:rsidRPr="00E9370A">
        <w:rPr>
          <w:rFonts w:ascii="Times New Roman" w:hAnsi="Times New Roman" w:cs="Times New Roman"/>
          <w:i/>
        </w:rPr>
        <w:t>)</w:t>
      </w:r>
      <w:r w:rsidR="00BB2242">
        <w:rPr>
          <w:rStyle w:val="Refdenotaalpie"/>
          <w:rFonts w:ascii="Times New Roman" w:hAnsi="Times New Roman" w:cs="Times New Roman"/>
          <w:i/>
        </w:rPr>
        <w:footnoteReference w:id="1"/>
      </w:r>
    </w:p>
    <w:p w:rsidR="00774535" w:rsidRPr="00E9370A" w:rsidRDefault="00774535" w:rsidP="00E9370A">
      <w:pPr>
        <w:spacing w:after="0" w:line="240" w:lineRule="auto"/>
        <w:jc w:val="both"/>
        <w:rPr>
          <w:rFonts w:ascii="Times New Roman" w:hAnsi="Times New Roman" w:cs="Times New Roman"/>
          <w:b/>
          <w:sz w:val="24"/>
          <w:szCs w:val="24"/>
        </w:rPr>
      </w:pPr>
    </w:p>
    <w:p w:rsidR="007A0500" w:rsidRPr="00E9370A" w:rsidRDefault="007A0500" w:rsidP="00E9370A">
      <w:pPr>
        <w:spacing w:after="0" w:line="240" w:lineRule="auto"/>
        <w:jc w:val="both"/>
        <w:rPr>
          <w:rFonts w:ascii="Times New Roman" w:hAnsi="Times New Roman" w:cs="Times New Roman"/>
          <w:sz w:val="24"/>
          <w:szCs w:val="24"/>
        </w:rPr>
      </w:pPr>
    </w:p>
    <w:p w:rsidR="007A0500" w:rsidRPr="00E9370A" w:rsidRDefault="007A0500" w:rsidP="00E9370A">
      <w:pPr>
        <w:pStyle w:val="TtulodeTDC"/>
        <w:spacing w:before="0" w:line="240" w:lineRule="auto"/>
        <w:rPr>
          <w:rFonts w:ascii="Times New Roman" w:hAnsi="Times New Roman"/>
          <w:sz w:val="24"/>
          <w:szCs w:val="24"/>
          <w:lang w:val="es-ES"/>
        </w:rPr>
      </w:pPr>
      <w:r w:rsidRPr="00E9370A">
        <w:rPr>
          <w:rFonts w:ascii="Times New Roman" w:hAnsi="Times New Roman"/>
          <w:sz w:val="24"/>
          <w:szCs w:val="24"/>
          <w:lang w:val="es-ES"/>
        </w:rPr>
        <w:t>Contenido</w:t>
      </w:r>
    </w:p>
    <w:p w:rsidR="007A0500" w:rsidRPr="00E9370A" w:rsidRDefault="007A0500" w:rsidP="00E9370A">
      <w:pPr>
        <w:pStyle w:val="TDC1"/>
        <w:spacing w:before="0" w:after="0"/>
        <w:rPr>
          <w:rFonts w:ascii="Times New Roman" w:hAnsi="Times New Roman"/>
          <w:sz w:val="24"/>
          <w:lang w:val="es-ES" w:eastAsia="es-ES"/>
        </w:rPr>
      </w:pPr>
    </w:p>
    <w:p w:rsidR="00841220" w:rsidRPr="00E9370A" w:rsidRDefault="007A0500" w:rsidP="00E9370A">
      <w:pPr>
        <w:pStyle w:val="TDC1"/>
        <w:spacing w:before="0" w:after="0"/>
        <w:rPr>
          <w:rFonts w:ascii="Times New Roman" w:eastAsiaTheme="minorEastAsia" w:hAnsi="Times New Roman"/>
          <w:b w:val="0"/>
          <w:bCs w:val="0"/>
          <w:caps w:val="0"/>
          <w:sz w:val="22"/>
          <w:szCs w:val="22"/>
          <w:lang w:val="es-ES" w:eastAsia="es-ES"/>
        </w:rPr>
      </w:pPr>
      <w:r w:rsidRPr="00E9370A">
        <w:rPr>
          <w:rFonts w:ascii="Times New Roman" w:hAnsi="Times New Roman"/>
          <w:sz w:val="24"/>
          <w:lang w:val="es-ES" w:eastAsia="es-ES"/>
        </w:rPr>
        <w:fldChar w:fldCharType="begin"/>
      </w:r>
      <w:r w:rsidRPr="00E9370A">
        <w:rPr>
          <w:rFonts w:ascii="Times New Roman" w:hAnsi="Times New Roman"/>
          <w:sz w:val="24"/>
          <w:lang w:val="es-ES"/>
        </w:rPr>
        <w:instrText xml:space="preserve"> TOC \o "1-3" \h \z \u </w:instrText>
      </w:r>
      <w:r w:rsidRPr="00E9370A">
        <w:rPr>
          <w:rFonts w:ascii="Times New Roman" w:hAnsi="Times New Roman"/>
          <w:sz w:val="24"/>
          <w:lang w:val="es-ES" w:eastAsia="es-ES"/>
        </w:rPr>
        <w:fldChar w:fldCharType="separate"/>
      </w:r>
      <w:hyperlink w:anchor="_Toc492027723" w:history="1">
        <w:r w:rsidR="00841220" w:rsidRPr="00E9370A">
          <w:rPr>
            <w:rStyle w:val="Hipervnculo"/>
            <w:rFonts w:ascii="Times New Roman" w:hAnsi="Times New Roman"/>
          </w:rPr>
          <w:t>Economía moderna y transición basada en la especialización inteligente</w:t>
        </w:r>
        <w:r w:rsidR="00841220" w:rsidRPr="00E9370A">
          <w:rPr>
            <w:rFonts w:ascii="Times New Roman" w:hAnsi="Times New Roman"/>
            <w:webHidden/>
          </w:rPr>
          <w:tab/>
        </w:r>
        <w:r w:rsidR="00841220" w:rsidRPr="00E9370A">
          <w:rPr>
            <w:rFonts w:ascii="Times New Roman" w:hAnsi="Times New Roman"/>
            <w:webHidden/>
          </w:rPr>
          <w:fldChar w:fldCharType="begin"/>
        </w:r>
        <w:r w:rsidR="00841220" w:rsidRPr="00E9370A">
          <w:rPr>
            <w:rFonts w:ascii="Times New Roman" w:hAnsi="Times New Roman"/>
            <w:webHidden/>
          </w:rPr>
          <w:instrText xml:space="preserve"> PAGEREF _Toc492027723 \h </w:instrText>
        </w:r>
        <w:r w:rsidR="00841220" w:rsidRPr="00E9370A">
          <w:rPr>
            <w:rFonts w:ascii="Times New Roman" w:hAnsi="Times New Roman"/>
            <w:webHidden/>
          </w:rPr>
        </w:r>
        <w:r w:rsidR="00841220" w:rsidRPr="00E9370A">
          <w:rPr>
            <w:rFonts w:ascii="Times New Roman" w:hAnsi="Times New Roman"/>
            <w:webHidden/>
          </w:rPr>
          <w:fldChar w:fldCharType="separate"/>
        </w:r>
        <w:r w:rsidR="00774535" w:rsidRPr="00E9370A">
          <w:rPr>
            <w:rFonts w:ascii="Times New Roman" w:hAnsi="Times New Roman"/>
            <w:webHidden/>
          </w:rPr>
          <w:t>1</w:t>
        </w:r>
        <w:r w:rsidR="00841220" w:rsidRPr="00E9370A">
          <w:rPr>
            <w:rFonts w:ascii="Times New Roman" w:hAnsi="Times New Roman"/>
            <w:webHidden/>
          </w:rPr>
          <w:fldChar w:fldCharType="end"/>
        </w:r>
      </w:hyperlink>
    </w:p>
    <w:p w:rsidR="00841220" w:rsidRPr="00E9370A" w:rsidRDefault="00995EB4" w:rsidP="00E9370A">
      <w:pPr>
        <w:pStyle w:val="TDC1"/>
        <w:spacing w:before="0" w:after="0"/>
        <w:rPr>
          <w:rFonts w:ascii="Times New Roman" w:eastAsiaTheme="minorEastAsia" w:hAnsi="Times New Roman"/>
          <w:b w:val="0"/>
          <w:bCs w:val="0"/>
          <w:caps w:val="0"/>
          <w:sz w:val="22"/>
          <w:szCs w:val="22"/>
          <w:lang w:val="es-ES" w:eastAsia="es-ES"/>
        </w:rPr>
      </w:pPr>
      <w:hyperlink w:anchor="_Toc492027724" w:history="1">
        <w:r w:rsidR="00841220" w:rsidRPr="00E9370A">
          <w:rPr>
            <w:rStyle w:val="Hipervnculo"/>
            <w:rFonts w:ascii="Times New Roman" w:hAnsi="Times New Roman"/>
          </w:rPr>
          <w:t>Desafíos y siguientes pasos: reforma de los sistemas de investigación e innovación dentro de las regiones y aumentar la cooperación en materia de inversión en innovación entre regiones</w:t>
        </w:r>
        <w:r w:rsidR="00841220" w:rsidRPr="00E9370A">
          <w:rPr>
            <w:rFonts w:ascii="Times New Roman" w:hAnsi="Times New Roman"/>
            <w:webHidden/>
          </w:rPr>
          <w:tab/>
        </w:r>
        <w:r w:rsidR="00841220" w:rsidRPr="00E9370A">
          <w:rPr>
            <w:rFonts w:ascii="Times New Roman" w:hAnsi="Times New Roman"/>
            <w:webHidden/>
          </w:rPr>
          <w:fldChar w:fldCharType="begin"/>
        </w:r>
        <w:r w:rsidR="00841220" w:rsidRPr="00E9370A">
          <w:rPr>
            <w:rFonts w:ascii="Times New Roman" w:hAnsi="Times New Roman"/>
            <w:webHidden/>
          </w:rPr>
          <w:instrText xml:space="preserve"> PAGEREF _Toc492027724 \h </w:instrText>
        </w:r>
        <w:r w:rsidR="00841220" w:rsidRPr="00E9370A">
          <w:rPr>
            <w:rFonts w:ascii="Times New Roman" w:hAnsi="Times New Roman"/>
            <w:webHidden/>
          </w:rPr>
        </w:r>
        <w:r w:rsidR="00841220" w:rsidRPr="00E9370A">
          <w:rPr>
            <w:rFonts w:ascii="Times New Roman" w:hAnsi="Times New Roman"/>
            <w:webHidden/>
          </w:rPr>
          <w:fldChar w:fldCharType="separate"/>
        </w:r>
        <w:r w:rsidR="00774535" w:rsidRPr="00E9370A">
          <w:rPr>
            <w:rFonts w:ascii="Times New Roman" w:hAnsi="Times New Roman"/>
            <w:webHidden/>
          </w:rPr>
          <w:t>2</w:t>
        </w:r>
        <w:r w:rsidR="00841220" w:rsidRPr="00E9370A">
          <w:rPr>
            <w:rFonts w:ascii="Times New Roman" w:hAnsi="Times New Roman"/>
            <w:webHidden/>
          </w:rPr>
          <w:fldChar w:fldCharType="end"/>
        </w:r>
      </w:hyperlink>
    </w:p>
    <w:p w:rsidR="00841220" w:rsidRPr="00E9370A" w:rsidRDefault="00995EB4" w:rsidP="00E9370A">
      <w:pPr>
        <w:pStyle w:val="TDC1"/>
        <w:spacing w:before="0" w:after="0"/>
        <w:rPr>
          <w:rFonts w:ascii="Times New Roman" w:eastAsiaTheme="minorEastAsia" w:hAnsi="Times New Roman"/>
          <w:b w:val="0"/>
          <w:bCs w:val="0"/>
          <w:caps w:val="0"/>
          <w:sz w:val="22"/>
          <w:szCs w:val="22"/>
          <w:lang w:val="es-ES" w:eastAsia="es-ES"/>
        </w:rPr>
      </w:pPr>
      <w:hyperlink w:anchor="_Toc492027725" w:history="1">
        <w:r w:rsidR="00841220" w:rsidRPr="00E9370A">
          <w:rPr>
            <w:rStyle w:val="Hipervnculo"/>
            <w:rFonts w:ascii="Times New Roman" w:hAnsi="Times New Roman"/>
          </w:rPr>
          <w:t>Aprovechar las sinergias y las complementariedades entre las políticas e instrumentos</w:t>
        </w:r>
        <w:r w:rsidR="00841220" w:rsidRPr="00E9370A">
          <w:rPr>
            <w:rFonts w:ascii="Times New Roman" w:hAnsi="Times New Roman"/>
            <w:webHidden/>
          </w:rPr>
          <w:tab/>
        </w:r>
        <w:r w:rsidR="00841220" w:rsidRPr="00E9370A">
          <w:rPr>
            <w:rFonts w:ascii="Times New Roman" w:hAnsi="Times New Roman"/>
            <w:webHidden/>
          </w:rPr>
          <w:fldChar w:fldCharType="begin"/>
        </w:r>
        <w:r w:rsidR="00841220" w:rsidRPr="00E9370A">
          <w:rPr>
            <w:rFonts w:ascii="Times New Roman" w:hAnsi="Times New Roman"/>
            <w:webHidden/>
          </w:rPr>
          <w:instrText xml:space="preserve"> PAGEREF _Toc492027725 \h </w:instrText>
        </w:r>
        <w:r w:rsidR="00841220" w:rsidRPr="00E9370A">
          <w:rPr>
            <w:rFonts w:ascii="Times New Roman" w:hAnsi="Times New Roman"/>
            <w:webHidden/>
          </w:rPr>
        </w:r>
        <w:r w:rsidR="00841220" w:rsidRPr="00E9370A">
          <w:rPr>
            <w:rFonts w:ascii="Times New Roman" w:hAnsi="Times New Roman"/>
            <w:webHidden/>
          </w:rPr>
          <w:fldChar w:fldCharType="separate"/>
        </w:r>
        <w:r w:rsidR="00774535" w:rsidRPr="00E9370A">
          <w:rPr>
            <w:rFonts w:ascii="Times New Roman" w:hAnsi="Times New Roman"/>
            <w:webHidden/>
          </w:rPr>
          <w:t>4</w:t>
        </w:r>
        <w:r w:rsidR="00841220" w:rsidRPr="00E9370A">
          <w:rPr>
            <w:rFonts w:ascii="Times New Roman" w:hAnsi="Times New Roman"/>
            <w:webHidden/>
          </w:rPr>
          <w:fldChar w:fldCharType="end"/>
        </w:r>
      </w:hyperlink>
    </w:p>
    <w:p w:rsidR="00841220" w:rsidRPr="00E9370A" w:rsidRDefault="00995EB4" w:rsidP="00E9370A">
      <w:pPr>
        <w:pStyle w:val="TDC1"/>
        <w:spacing w:before="0" w:after="0"/>
        <w:rPr>
          <w:rFonts w:ascii="Times New Roman" w:eastAsiaTheme="minorEastAsia" w:hAnsi="Times New Roman"/>
          <w:b w:val="0"/>
          <w:bCs w:val="0"/>
          <w:caps w:val="0"/>
          <w:sz w:val="22"/>
          <w:szCs w:val="22"/>
          <w:lang w:val="es-ES" w:eastAsia="es-ES"/>
        </w:rPr>
      </w:pPr>
      <w:hyperlink w:anchor="_Toc492027726" w:history="1">
        <w:r w:rsidR="00841220" w:rsidRPr="00E9370A">
          <w:rPr>
            <w:rStyle w:val="Hipervnculo"/>
            <w:rFonts w:ascii="Times New Roman" w:hAnsi="Times New Roman"/>
          </w:rPr>
          <w:t>Conclusiones</w:t>
        </w:r>
        <w:r w:rsidR="00841220" w:rsidRPr="00E9370A">
          <w:rPr>
            <w:rFonts w:ascii="Times New Roman" w:hAnsi="Times New Roman"/>
            <w:webHidden/>
          </w:rPr>
          <w:tab/>
        </w:r>
        <w:r w:rsidR="00841220" w:rsidRPr="00E9370A">
          <w:rPr>
            <w:rFonts w:ascii="Times New Roman" w:hAnsi="Times New Roman"/>
            <w:webHidden/>
          </w:rPr>
          <w:fldChar w:fldCharType="begin"/>
        </w:r>
        <w:r w:rsidR="00841220" w:rsidRPr="00E9370A">
          <w:rPr>
            <w:rFonts w:ascii="Times New Roman" w:hAnsi="Times New Roman"/>
            <w:webHidden/>
          </w:rPr>
          <w:instrText xml:space="preserve"> PAGEREF _Toc492027726 \h </w:instrText>
        </w:r>
        <w:r w:rsidR="00841220" w:rsidRPr="00E9370A">
          <w:rPr>
            <w:rFonts w:ascii="Times New Roman" w:hAnsi="Times New Roman"/>
            <w:webHidden/>
          </w:rPr>
        </w:r>
        <w:r w:rsidR="00841220" w:rsidRPr="00E9370A">
          <w:rPr>
            <w:rFonts w:ascii="Times New Roman" w:hAnsi="Times New Roman"/>
            <w:webHidden/>
          </w:rPr>
          <w:fldChar w:fldCharType="separate"/>
        </w:r>
        <w:r w:rsidR="00774535" w:rsidRPr="00E9370A">
          <w:rPr>
            <w:rFonts w:ascii="Times New Roman" w:hAnsi="Times New Roman"/>
            <w:webHidden/>
          </w:rPr>
          <w:t>4</w:t>
        </w:r>
        <w:r w:rsidR="00841220" w:rsidRPr="00E9370A">
          <w:rPr>
            <w:rFonts w:ascii="Times New Roman" w:hAnsi="Times New Roman"/>
            <w:webHidden/>
          </w:rPr>
          <w:fldChar w:fldCharType="end"/>
        </w:r>
      </w:hyperlink>
    </w:p>
    <w:p w:rsidR="007A0500" w:rsidRDefault="007A0500" w:rsidP="00E9370A">
      <w:pPr>
        <w:spacing w:after="0" w:line="240" w:lineRule="auto"/>
        <w:jc w:val="both"/>
        <w:rPr>
          <w:rFonts w:ascii="Times New Roman" w:hAnsi="Times New Roman" w:cs="Times New Roman"/>
          <w:sz w:val="24"/>
          <w:szCs w:val="24"/>
        </w:rPr>
      </w:pPr>
      <w:r w:rsidRPr="00E9370A">
        <w:rPr>
          <w:rFonts w:ascii="Times New Roman" w:hAnsi="Times New Roman" w:cs="Times New Roman"/>
          <w:sz w:val="24"/>
          <w:szCs w:val="24"/>
        </w:rPr>
        <w:fldChar w:fldCharType="end"/>
      </w:r>
    </w:p>
    <w:p w:rsidR="00E9370A" w:rsidRDefault="00E9370A" w:rsidP="00E9370A">
      <w:pPr>
        <w:spacing w:after="0" w:line="240" w:lineRule="auto"/>
        <w:jc w:val="both"/>
        <w:rPr>
          <w:rFonts w:ascii="Times New Roman" w:hAnsi="Times New Roman" w:cs="Times New Roman"/>
          <w:sz w:val="24"/>
          <w:szCs w:val="24"/>
        </w:rPr>
      </w:pPr>
    </w:p>
    <w:p w:rsidR="00BB2242" w:rsidRDefault="00BB2242" w:rsidP="00BB2242">
      <w:pPr>
        <w:pStyle w:val="Ttulo1"/>
      </w:pPr>
      <w:r>
        <w:t>Centro de Cuestiones Fronterizas</w:t>
      </w:r>
    </w:p>
    <w:p w:rsidR="00BB2242" w:rsidRPr="00E9370A" w:rsidRDefault="00BB2242" w:rsidP="00E9370A">
      <w:pPr>
        <w:spacing w:after="0" w:line="240" w:lineRule="auto"/>
        <w:jc w:val="both"/>
        <w:rPr>
          <w:rFonts w:ascii="Times New Roman" w:hAnsi="Times New Roman" w:cs="Times New Roman"/>
          <w:sz w:val="24"/>
          <w:szCs w:val="24"/>
        </w:rPr>
      </w:pPr>
    </w:p>
    <w:p w:rsidR="00E9370A" w:rsidRDefault="00E9370A" w:rsidP="00E9370A">
      <w:pPr>
        <w:pStyle w:val="NormalWeb"/>
        <w:shd w:val="clear" w:color="auto" w:fill="FFFFFF"/>
        <w:spacing w:before="0" w:beforeAutospacing="0" w:after="0" w:afterAutospacing="0"/>
        <w:jc w:val="both"/>
        <w:rPr>
          <w:b/>
          <w:bCs/>
          <w:color w:val="000000"/>
        </w:rPr>
      </w:pPr>
      <w:r w:rsidRPr="00E9370A">
        <w:rPr>
          <w:b/>
          <w:bCs/>
          <w:color w:val="000000"/>
        </w:rPr>
        <w:t>Para desplegar todo el potencial económico de las regiones fronterizas de la UE, que albergan a 150 millones de ciudadanos, la Comisión lanza hoy el "</w:t>
      </w:r>
      <w:r w:rsidRPr="00E9370A">
        <w:rPr>
          <w:b/>
          <w:bCs/>
          <w:color w:val="000000"/>
        </w:rPr>
        <w:t>Centro de Cuestiones Fronterizas</w:t>
      </w:r>
      <w:r w:rsidRPr="00E9370A">
        <w:rPr>
          <w:b/>
          <w:bCs/>
          <w:color w:val="000000"/>
        </w:rPr>
        <w:t>". Proporciona un apoyo adaptado a las regiones para ayudarles a romper las barreras al empleo ya las inversiones.</w:t>
      </w:r>
    </w:p>
    <w:p w:rsidR="00E9370A" w:rsidRPr="00E9370A" w:rsidRDefault="00E9370A" w:rsidP="00E9370A">
      <w:pPr>
        <w:pStyle w:val="NormalWeb"/>
        <w:shd w:val="clear" w:color="auto" w:fill="FFFFFF"/>
        <w:spacing w:before="0" w:beforeAutospacing="0" w:after="0" w:afterAutospacing="0"/>
        <w:jc w:val="both"/>
        <w:rPr>
          <w:b/>
          <w:bCs/>
          <w:color w:val="000000"/>
        </w:rPr>
      </w:pPr>
    </w:p>
    <w:p w:rsidR="00E9370A" w:rsidRDefault="00E9370A" w:rsidP="00E9370A">
      <w:pPr>
        <w:pStyle w:val="NormalWeb"/>
        <w:shd w:val="clear" w:color="auto" w:fill="FFFFFF"/>
        <w:spacing w:before="0" w:beforeAutospacing="0" w:after="0" w:afterAutospacing="0"/>
        <w:jc w:val="both"/>
        <w:rPr>
          <w:rStyle w:val="Textoennegrita"/>
          <w:color w:val="000000"/>
          <w:bdr w:val="none" w:sz="0" w:space="0" w:color="auto" w:frame="1"/>
        </w:rPr>
      </w:pPr>
      <w:r w:rsidRPr="00E9370A">
        <w:rPr>
          <w:rStyle w:val="Textoennegrita"/>
          <w:color w:val="000000"/>
          <w:bdr w:val="none" w:sz="0" w:space="0" w:color="auto" w:frame="1"/>
        </w:rPr>
        <w:t>Las cuestiones en juego:</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Pr="00E9370A" w:rsidRDefault="00E9370A" w:rsidP="00E9370A">
      <w:pPr>
        <w:pStyle w:val="NormalWeb"/>
        <w:shd w:val="clear" w:color="auto" w:fill="FFFFFF"/>
        <w:spacing w:before="0" w:beforeAutospacing="0" w:after="0" w:afterAutospacing="0"/>
        <w:jc w:val="both"/>
        <w:rPr>
          <w:color w:val="000000"/>
        </w:rPr>
      </w:pPr>
      <w:r w:rsidRPr="00E9370A">
        <w:rPr>
          <w:color w:val="000000"/>
        </w:rPr>
        <w:t>Las regiones fronterizas representan el 40% del territorio de la UE. Aunque más de una cuarta parte del PIB de Europa se produce en sus regiones fronterizas, su potencial económico sigue sin explotarse.</w:t>
      </w:r>
    </w:p>
    <w:p w:rsidR="00E9370A" w:rsidRDefault="00E9370A" w:rsidP="00E9370A">
      <w:pPr>
        <w:pStyle w:val="NormalWeb"/>
        <w:shd w:val="clear" w:color="auto" w:fill="FFFFFF"/>
        <w:spacing w:before="0" w:beforeAutospacing="0" w:after="0" w:afterAutospacing="0"/>
        <w:jc w:val="both"/>
        <w:rPr>
          <w:color w:val="000000"/>
        </w:rPr>
      </w:pPr>
    </w:p>
    <w:p w:rsidR="00E9370A" w:rsidRPr="00E9370A" w:rsidRDefault="00E9370A" w:rsidP="00E9370A">
      <w:pPr>
        <w:pStyle w:val="NormalWeb"/>
        <w:shd w:val="clear" w:color="auto" w:fill="FFFFFF"/>
        <w:spacing w:before="0" w:beforeAutospacing="0" w:after="0" w:afterAutospacing="0"/>
        <w:jc w:val="both"/>
        <w:rPr>
          <w:color w:val="000000"/>
        </w:rPr>
      </w:pPr>
      <w:r w:rsidRPr="00E9370A">
        <w:rPr>
          <w:color w:val="000000"/>
        </w:rPr>
        <w:t>En 2015, la Comisión lanzó una revisión de los obstáculos transfronterizos en toda la UE, en la que se identificaron </w:t>
      </w:r>
      <w:hyperlink r:id="rId10" w:history="1">
        <w:r w:rsidRPr="00E9370A">
          <w:rPr>
            <w:rStyle w:val="Hipervnculo"/>
            <w:color w:val="551A8B"/>
            <w:bdr w:val="none" w:sz="0" w:space="0" w:color="auto" w:frame="1"/>
          </w:rPr>
          <w:t>239 casos específicos</w:t>
        </w:r>
      </w:hyperlink>
      <w:r w:rsidRPr="00E9370A">
        <w:rPr>
          <w:color w:val="000000"/>
        </w:rPr>
        <w:t> de obstáculos de carácter administrativo y jurídico. Se trata de cuellos de botella invisibles pero reales para los 150 millones de ciudadanos que viven en las regiones fronterizas de la UE. La revisión estableció tres categorías principales de obstáculos:</w:t>
      </w:r>
    </w:p>
    <w:p w:rsidR="00E9370A" w:rsidRDefault="00E9370A" w:rsidP="00E9370A">
      <w:pPr>
        <w:pStyle w:val="NormalWeb"/>
        <w:shd w:val="clear" w:color="auto" w:fill="FFFFFF"/>
        <w:spacing w:before="0" w:beforeAutospacing="0" w:after="0" w:afterAutospacing="0"/>
        <w:jc w:val="both"/>
        <w:rPr>
          <w:rStyle w:val="Textoennegrita"/>
          <w:color w:val="000000"/>
          <w:bdr w:val="none" w:sz="0" w:space="0" w:color="auto" w:frame="1"/>
        </w:rPr>
      </w:pPr>
    </w:p>
    <w:p w:rsidR="00E9370A" w:rsidRPr="00E9370A" w:rsidRDefault="00E9370A" w:rsidP="00E9370A">
      <w:pPr>
        <w:pStyle w:val="NormalWeb"/>
        <w:numPr>
          <w:ilvl w:val="0"/>
          <w:numId w:val="6"/>
        </w:numPr>
        <w:shd w:val="clear" w:color="auto" w:fill="FFFFFF"/>
        <w:spacing w:before="0" w:beforeAutospacing="0" w:after="0" w:afterAutospacing="0"/>
        <w:jc w:val="both"/>
        <w:rPr>
          <w:color w:val="000000"/>
        </w:rPr>
      </w:pPr>
      <w:r w:rsidRPr="00E9370A">
        <w:rPr>
          <w:rStyle w:val="Textoennegrita"/>
          <w:color w:val="000000"/>
          <w:bdr w:val="none" w:sz="0" w:space="0" w:color="auto" w:frame="1"/>
        </w:rPr>
        <w:t>Conseguir un puesto de trabajo fronterizo:</w:t>
      </w:r>
      <w:r w:rsidRPr="00E9370A">
        <w:rPr>
          <w:color w:val="000000"/>
        </w:rPr>
        <w:t xml:space="preserve"> tener plenamente reconocidas las competencias y competencias, acceder a las ofertas de empleo, asegurar una cobertura completa de la seguridad social: todavía hay margen de mejora en </w:t>
      </w:r>
      <w:r w:rsidRPr="00E9370A">
        <w:rPr>
          <w:color w:val="000000"/>
        </w:rPr>
        <w:lastRenderedPageBreak/>
        <w:t>estas áreas. En el contexto de la revisión, los ciudadanos y las empresas han pedido un mejor acceso a información confiable sobre las normas y los servicios disponibles en el otro lado de la frontera.</w:t>
      </w:r>
    </w:p>
    <w:p w:rsidR="00E9370A" w:rsidRDefault="00E9370A" w:rsidP="00E9370A">
      <w:pPr>
        <w:pStyle w:val="NormalWeb"/>
        <w:shd w:val="clear" w:color="auto" w:fill="FFFFFF"/>
        <w:spacing w:before="0" w:beforeAutospacing="0" w:after="0" w:afterAutospacing="0"/>
        <w:jc w:val="both"/>
        <w:rPr>
          <w:rStyle w:val="Textoennegrita"/>
          <w:color w:val="000000"/>
          <w:bdr w:val="none" w:sz="0" w:space="0" w:color="auto" w:frame="1"/>
        </w:rPr>
      </w:pPr>
    </w:p>
    <w:p w:rsidR="00E9370A" w:rsidRPr="00E9370A" w:rsidRDefault="00E9370A" w:rsidP="00E9370A">
      <w:pPr>
        <w:pStyle w:val="NormalWeb"/>
        <w:numPr>
          <w:ilvl w:val="0"/>
          <w:numId w:val="6"/>
        </w:numPr>
        <w:shd w:val="clear" w:color="auto" w:fill="FFFFFF"/>
        <w:spacing w:before="0" w:beforeAutospacing="0" w:after="0" w:afterAutospacing="0"/>
        <w:jc w:val="both"/>
        <w:rPr>
          <w:color w:val="000000"/>
        </w:rPr>
      </w:pPr>
      <w:r w:rsidRPr="00E9370A">
        <w:rPr>
          <w:rStyle w:val="Textoennegrita"/>
          <w:color w:val="000000"/>
          <w:bdr w:val="none" w:sz="0" w:space="0" w:color="auto" w:frame="1"/>
        </w:rPr>
        <w:t>Hac</w:t>
      </w:r>
      <w:r>
        <w:rPr>
          <w:rStyle w:val="Textoennegrita"/>
          <w:color w:val="000000"/>
          <w:bdr w:val="none" w:sz="0" w:space="0" w:color="auto" w:frame="1"/>
        </w:rPr>
        <w:t>er</w:t>
      </w:r>
      <w:r w:rsidRPr="00E9370A">
        <w:rPr>
          <w:rStyle w:val="Textoennegrita"/>
          <w:color w:val="000000"/>
          <w:bdr w:val="none" w:sz="0" w:space="0" w:color="auto" w:frame="1"/>
        </w:rPr>
        <w:t xml:space="preserve"> negocios a través de la </w:t>
      </w:r>
      <w:proofErr w:type="gramStart"/>
      <w:r w:rsidRPr="00E9370A">
        <w:rPr>
          <w:rStyle w:val="Textoennegrita"/>
          <w:color w:val="000000"/>
          <w:bdr w:val="none" w:sz="0" w:space="0" w:color="auto" w:frame="1"/>
        </w:rPr>
        <w:t>frontera</w:t>
      </w:r>
      <w:r w:rsidRPr="00E9370A">
        <w:rPr>
          <w:color w:val="000000"/>
        </w:rPr>
        <w:t> :</w:t>
      </w:r>
      <w:proofErr w:type="gramEnd"/>
      <w:r w:rsidRPr="00E9370A">
        <w:rPr>
          <w:color w:val="000000"/>
        </w:rPr>
        <w:t xml:space="preserve"> una empresa que realiza negocios a través de la frontera gasta un 60% más que las empresas que operan en el país para llevar a cabo los procedimientos clave principalmente debido a los costos adicionales de traducción y certificación.</w:t>
      </w:r>
    </w:p>
    <w:p w:rsidR="00E9370A" w:rsidRPr="00E9370A" w:rsidRDefault="00E9370A" w:rsidP="00E9370A">
      <w:pPr>
        <w:pStyle w:val="NormalWeb"/>
        <w:numPr>
          <w:ilvl w:val="0"/>
          <w:numId w:val="6"/>
        </w:numPr>
        <w:shd w:val="clear" w:color="auto" w:fill="FFFFFF"/>
        <w:spacing w:before="0" w:beforeAutospacing="0" w:after="0" w:afterAutospacing="0"/>
        <w:jc w:val="both"/>
        <w:rPr>
          <w:color w:val="000000"/>
        </w:rPr>
      </w:pPr>
      <w:r w:rsidRPr="00E9370A">
        <w:rPr>
          <w:rStyle w:val="Textoennegrita"/>
          <w:color w:val="000000"/>
          <w:bdr w:val="none" w:sz="0" w:space="0" w:color="auto" w:frame="1"/>
        </w:rPr>
        <w:t xml:space="preserve">Uso de los servicios </w:t>
      </w:r>
      <w:r w:rsidRPr="00E9370A">
        <w:rPr>
          <w:rStyle w:val="Textoennegrita"/>
          <w:color w:val="000000"/>
          <w:bdr w:val="none" w:sz="0" w:space="0" w:color="auto" w:frame="1"/>
        </w:rPr>
        <w:t>públicos</w:t>
      </w:r>
      <w:r w:rsidRPr="00E9370A">
        <w:rPr>
          <w:color w:val="000000"/>
        </w:rPr>
        <w:t>:</w:t>
      </w:r>
      <w:r w:rsidRPr="00E9370A">
        <w:rPr>
          <w:color w:val="000000"/>
        </w:rPr>
        <w:t xml:space="preserve"> diferentes procedimientos para el reembolso de los servicios médicos, tarifas diferentes y falta de conexiones entre los sistemas de transporte público, barreras lingüísticas - el uso de los servicios públicos en las regiones fronterizas no siempre forma parte de la rutina diaria como en otras regiones de la UE.</w:t>
      </w:r>
      <w:r w:rsidRPr="00E9370A">
        <w:rPr>
          <w:rStyle w:val="Textoennegrita"/>
          <w:color w:val="000000"/>
          <w:bdr w:val="none" w:sz="0" w:space="0" w:color="auto" w:frame="1"/>
        </w:rPr>
        <w:t> </w:t>
      </w:r>
    </w:p>
    <w:p w:rsidR="00E9370A" w:rsidRDefault="00E9370A" w:rsidP="00E9370A">
      <w:pPr>
        <w:pStyle w:val="NormalWeb"/>
        <w:shd w:val="clear" w:color="auto" w:fill="FFFFFF"/>
        <w:spacing w:before="0" w:beforeAutospacing="0" w:after="0" w:afterAutospacing="0"/>
        <w:jc w:val="both"/>
        <w:rPr>
          <w:color w:val="000000"/>
        </w:rPr>
      </w:pPr>
    </w:p>
    <w:p w:rsidR="00E9370A" w:rsidRDefault="00E9370A" w:rsidP="00E9370A">
      <w:pPr>
        <w:pStyle w:val="NormalWeb"/>
        <w:shd w:val="clear" w:color="auto" w:fill="FFFFFF"/>
        <w:spacing w:before="0" w:beforeAutospacing="0" w:after="0" w:afterAutospacing="0"/>
        <w:jc w:val="both"/>
        <w:rPr>
          <w:color w:val="000000"/>
        </w:rPr>
      </w:pPr>
      <w:r w:rsidRPr="00E9370A">
        <w:rPr>
          <w:color w:val="000000"/>
        </w:rPr>
        <w:t>El objetivo general de esta Comunicación es estimular el diálogo sobre las cuestiones transfronterizas entre los Estados miembros y las regiones y ayudarles, si así lo solicitan, a profundizar su cooperación. La Comisión pondrá a disposición las buenas prácticas y ofrecerá asesoramiento especializado para la creación de un centro de expertos de la Comisión, </w:t>
      </w:r>
      <w:r w:rsidRPr="00E9370A">
        <w:rPr>
          <w:rStyle w:val="Textoennegrita"/>
          <w:color w:val="000000"/>
          <w:bdr w:val="none" w:sz="0" w:space="0" w:color="auto" w:frame="1"/>
        </w:rPr>
        <w:t>el </w:t>
      </w:r>
      <w:r>
        <w:rPr>
          <w:rStyle w:val="Textoennegrita"/>
          <w:color w:val="000000"/>
          <w:bdr w:val="none" w:sz="0" w:space="0" w:color="auto" w:frame="1"/>
        </w:rPr>
        <w:t>Centro de Cuestiones Fronterizas</w:t>
      </w:r>
      <w:r w:rsidRPr="00E9370A">
        <w:rPr>
          <w:color w:val="000000"/>
        </w:rPr>
        <w:t> y la selección de un máximo de </w:t>
      </w:r>
      <w:r w:rsidRPr="00E9370A">
        <w:rPr>
          <w:rStyle w:val="Textoennegrita"/>
          <w:color w:val="000000"/>
          <w:bdr w:val="none" w:sz="0" w:space="0" w:color="auto" w:frame="1"/>
        </w:rPr>
        <w:t>20 proyectos que ofrezcan soluciones innovadoras</w:t>
      </w:r>
      <w:r w:rsidRPr="00E9370A">
        <w:rPr>
          <w:color w:val="000000"/>
        </w:rPr>
        <w:t> para abordar cuestiones transfronterizas.</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Default="00E9370A" w:rsidP="00E9370A">
      <w:pPr>
        <w:pStyle w:val="NormalWeb"/>
        <w:shd w:val="clear" w:color="auto" w:fill="FFFFFF"/>
        <w:spacing w:before="0" w:beforeAutospacing="0" w:after="0" w:afterAutospacing="0"/>
        <w:jc w:val="both"/>
        <w:rPr>
          <w:color w:val="000000"/>
        </w:rPr>
      </w:pPr>
      <w:r w:rsidRPr="00E9370A">
        <w:rPr>
          <w:color w:val="000000"/>
        </w:rPr>
        <w:t>Además, en el contexto de la reflexión en curso sobre </w:t>
      </w:r>
      <w:hyperlink r:id="rId11" w:history="1">
        <w:r w:rsidRPr="00E9370A">
          <w:rPr>
            <w:rStyle w:val="Hipervnculo"/>
            <w:color w:val="551A8B"/>
            <w:bdr w:val="none" w:sz="0" w:space="0" w:color="auto" w:frame="1"/>
          </w:rPr>
          <w:t>el futuro de las finanzas de la UE</w:t>
        </w:r>
      </w:hyperlink>
      <w:r w:rsidRPr="00E9370A">
        <w:rPr>
          <w:color w:val="000000"/>
        </w:rPr>
        <w:t> , la presente Comunicación aporta ideas para la formación de </w:t>
      </w:r>
      <w:r w:rsidRPr="00E9370A">
        <w:rPr>
          <w:rStyle w:val="Textoennegrita"/>
          <w:color w:val="000000"/>
          <w:bdr w:val="none" w:sz="0" w:space="0" w:color="auto" w:frame="1"/>
        </w:rPr>
        <w:t>la próxima generación de programas de cooperación transfronteriza ("</w:t>
      </w:r>
      <w:proofErr w:type="spellStart"/>
      <w:r w:rsidRPr="00E9370A">
        <w:rPr>
          <w:rStyle w:val="Textoennegrita"/>
          <w:color w:val="000000"/>
          <w:bdr w:val="none" w:sz="0" w:space="0" w:color="auto" w:frame="1"/>
        </w:rPr>
        <w:fldChar w:fldCharType="begin"/>
      </w:r>
      <w:r w:rsidRPr="00E9370A">
        <w:rPr>
          <w:rStyle w:val="Textoennegrita"/>
          <w:color w:val="000000"/>
          <w:bdr w:val="none" w:sz="0" w:space="0" w:color="auto" w:frame="1"/>
        </w:rPr>
        <w:instrText xml:space="preserve"> HYPERLINK "http://ec.europa.eu/regional_policy/fr/policy/cooperation/european-territorial/cross-border/" </w:instrText>
      </w:r>
      <w:r w:rsidRPr="00E9370A">
        <w:rPr>
          <w:rStyle w:val="Textoennegrita"/>
          <w:color w:val="000000"/>
          <w:bdr w:val="none" w:sz="0" w:space="0" w:color="auto" w:frame="1"/>
        </w:rPr>
        <w:fldChar w:fldCharType="separate"/>
      </w:r>
      <w:r w:rsidRPr="00E9370A">
        <w:rPr>
          <w:rStyle w:val="Hipervnculo"/>
          <w:b/>
          <w:bCs/>
          <w:color w:val="551A8B"/>
          <w:bdr w:val="none" w:sz="0" w:space="0" w:color="auto" w:frame="1"/>
        </w:rPr>
        <w:t>interreg</w:t>
      </w:r>
      <w:proofErr w:type="spellEnd"/>
      <w:r w:rsidRPr="00E9370A">
        <w:rPr>
          <w:rStyle w:val="Textoennegrita"/>
          <w:color w:val="000000"/>
          <w:bdr w:val="none" w:sz="0" w:space="0" w:color="auto" w:frame="1"/>
        </w:rPr>
        <w:fldChar w:fldCharType="end"/>
      </w:r>
      <w:r w:rsidRPr="00E9370A">
        <w:rPr>
          <w:rStyle w:val="Textoennegrita"/>
          <w:color w:val="000000"/>
          <w:bdr w:val="none" w:sz="0" w:space="0" w:color="auto" w:frame="1"/>
        </w:rPr>
        <w:t>")</w:t>
      </w:r>
      <w:r w:rsidRPr="00E9370A">
        <w:rPr>
          <w:color w:val="000000"/>
        </w:rPr>
        <w:t>.</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Default="00E9370A" w:rsidP="00E9370A">
      <w:pPr>
        <w:pStyle w:val="NormalWeb"/>
        <w:shd w:val="clear" w:color="auto" w:fill="FFFFFF"/>
        <w:spacing w:before="0" w:beforeAutospacing="0" w:after="0" w:afterAutospacing="0"/>
        <w:jc w:val="both"/>
        <w:rPr>
          <w:rStyle w:val="Textoennegrita"/>
          <w:color w:val="000000"/>
          <w:bdr w:val="none" w:sz="0" w:space="0" w:color="auto" w:frame="1"/>
        </w:rPr>
      </w:pPr>
      <w:r w:rsidRPr="00E9370A">
        <w:rPr>
          <w:rStyle w:val="Textoennegrita"/>
          <w:color w:val="000000"/>
          <w:bdr w:val="none" w:sz="0" w:space="0" w:color="auto" w:frame="1"/>
        </w:rPr>
        <w:t xml:space="preserve">El </w:t>
      </w:r>
      <w:r>
        <w:rPr>
          <w:rStyle w:val="Textoennegrita"/>
          <w:color w:val="000000"/>
          <w:bdr w:val="none" w:sz="0" w:space="0" w:color="auto" w:frame="1"/>
        </w:rPr>
        <w:t>Centro de Cuestiones Fronterizas</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Pr="00E9370A" w:rsidRDefault="00E9370A" w:rsidP="00E9370A">
      <w:pPr>
        <w:pStyle w:val="NormalWeb"/>
        <w:shd w:val="clear" w:color="auto" w:fill="FFFFFF"/>
        <w:spacing w:before="0" w:beforeAutospacing="0" w:after="0" w:afterAutospacing="0"/>
        <w:jc w:val="both"/>
        <w:rPr>
          <w:color w:val="000000"/>
        </w:rPr>
      </w:pPr>
      <w:r w:rsidRPr="00E9370A">
        <w:rPr>
          <w:color w:val="000000"/>
        </w:rPr>
        <w:t xml:space="preserve">El nuevo </w:t>
      </w:r>
      <w:r>
        <w:rPr>
          <w:color w:val="000000"/>
        </w:rPr>
        <w:t>Centro de Cuestiones Fronterizas</w:t>
      </w:r>
      <w:r w:rsidRPr="00E9370A">
        <w:rPr>
          <w:color w:val="000000"/>
        </w:rPr>
        <w:t xml:space="preserve"> está compuesto por expertos de la Comisión en cuestiones transfronterizas. Los expertos interactuarán con los Estados miembros, las autoridades regionales y locales y las empresas a través de </w:t>
      </w:r>
      <w:r w:rsidRPr="00E9370A">
        <w:rPr>
          <w:rStyle w:val="Textoennegrita"/>
          <w:color w:val="000000"/>
          <w:bdr w:val="none" w:sz="0" w:space="0" w:color="auto" w:frame="1"/>
        </w:rPr>
        <w:t xml:space="preserve">una nueva red </w:t>
      </w:r>
      <w:r>
        <w:rPr>
          <w:rStyle w:val="Textoennegrita"/>
          <w:color w:val="000000"/>
          <w:bdr w:val="none" w:sz="0" w:space="0" w:color="auto" w:frame="1"/>
        </w:rPr>
        <w:t>online</w:t>
      </w:r>
      <w:r w:rsidRPr="00E9370A">
        <w:rPr>
          <w:color w:val="000000"/>
        </w:rPr>
        <w:t>,</w:t>
      </w:r>
      <w:r w:rsidRPr="00E9370A">
        <w:rPr>
          <w:color w:val="000000"/>
        </w:rPr>
        <w:t xml:space="preserve"> alojada en la </w:t>
      </w:r>
      <w:hyperlink r:id="rId12" w:history="1">
        <w:r w:rsidRPr="00E9370A">
          <w:rPr>
            <w:rStyle w:val="Hipervnculo"/>
            <w:color w:val="551A8B"/>
            <w:bdr w:val="none" w:sz="0" w:space="0" w:color="auto" w:frame="1"/>
          </w:rPr>
          <w:t>plataforma</w:t>
        </w:r>
      </w:hyperlink>
      <w:r>
        <w:rPr>
          <w:color w:val="000000"/>
        </w:rPr>
        <w:t xml:space="preserve"> </w:t>
      </w:r>
      <w:r w:rsidRPr="00E9370A">
        <w:rPr>
          <w:color w:val="000000"/>
        </w:rPr>
        <w:t>informática </w:t>
      </w:r>
      <w:hyperlink r:id="rId13" w:history="1">
        <w:proofErr w:type="spellStart"/>
        <w:r w:rsidRPr="00E9370A">
          <w:rPr>
            <w:rStyle w:val="Hipervnculo"/>
            <w:color w:val="551A8B"/>
            <w:bdr w:val="none" w:sz="0" w:space="0" w:color="auto" w:frame="1"/>
          </w:rPr>
          <w:t>Futurium</w:t>
        </w:r>
        <w:proofErr w:type="spellEnd"/>
        <w:r w:rsidRPr="00E9370A">
          <w:rPr>
            <w:rStyle w:val="Hipervnculo"/>
            <w:color w:val="551A8B"/>
            <w:bdr w:val="none" w:sz="0" w:space="0" w:color="auto" w:frame="1"/>
          </w:rPr>
          <w:t xml:space="preserve"> de</w:t>
        </w:r>
      </w:hyperlink>
      <w:r w:rsidRPr="00E9370A">
        <w:rPr>
          <w:color w:val="000000"/>
        </w:rPr>
        <w:t xml:space="preserve"> la </w:t>
      </w:r>
      <w:r w:rsidR="00BB2242" w:rsidRPr="00E9370A">
        <w:rPr>
          <w:color w:val="000000"/>
        </w:rPr>
        <w:t>Comisión.</w:t>
      </w:r>
    </w:p>
    <w:p w:rsidR="00E9370A" w:rsidRDefault="00E9370A" w:rsidP="00E9370A">
      <w:pPr>
        <w:pStyle w:val="NormalWeb"/>
        <w:shd w:val="clear" w:color="auto" w:fill="FFFFFF"/>
        <w:spacing w:before="0" w:beforeAutospacing="0" w:after="0" w:afterAutospacing="0"/>
        <w:jc w:val="both"/>
        <w:rPr>
          <w:color w:val="000000"/>
        </w:rPr>
      </w:pPr>
    </w:p>
    <w:p w:rsidR="00E9370A" w:rsidRDefault="00E9370A" w:rsidP="00E9370A">
      <w:pPr>
        <w:pStyle w:val="NormalWeb"/>
        <w:shd w:val="clear" w:color="auto" w:fill="FFFFFF"/>
        <w:spacing w:before="0" w:beforeAutospacing="0" w:after="0" w:afterAutospacing="0"/>
        <w:jc w:val="both"/>
        <w:rPr>
          <w:color w:val="000000"/>
        </w:rPr>
      </w:pPr>
      <w:r w:rsidRPr="00E9370A">
        <w:rPr>
          <w:color w:val="000000"/>
        </w:rPr>
        <w:t>A través de esta red, que entrará en funcionamiento a partir de enero de 2018, reunirá y compartirá buenas prácticas sobre una cooperación fluida y ofrecerá un apoyo adaptado para superar casos específicos de obstáculos transfronterizos.</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Pr="00BB2242" w:rsidRDefault="00E9370A" w:rsidP="00BB2242">
      <w:pPr>
        <w:pStyle w:val="Ttulo1"/>
      </w:pPr>
      <w:r w:rsidRPr="00BB2242">
        <w:rPr>
          <w:rStyle w:val="Textoennegrita"/>
          <w:b w:val="0"/>
          <w:bCs w:val="0"/>
        </w:rPr>
        <w:t>Conseguir un trabajo al otro lado de la frontera</w:t>
      </w:r>
    </w:p>
    <w:p w:rsidR="00E9370A" w:rsidRDefault="00E9370A" w:rsidP="00E9370A">
      <w:pPr>
        <w:pStyle w:val="NormalWeb"/>
        <w:shd w:val="clear" w:color="auto" w:fill="FFFFFF"/>
        <w:spacing w:before="0" w:beforeAutospacing="0" w:after="0" w:afterAutospacing="0"/>
        <w:jc w:val="both"/>
        <w:rPr>
          <w:color w:val="000000"/>
        </w:rPr>
      </w:pPr>
    </w:p>
    <w:p w:rsidR="00E9370A" w:rsidRPr="00E9370A" w:rsidRDefault="00E9370A" w:rsidP="00E9370A">
      <w:pPr>
        <w:pStyle w:val="NormalWeb"/>
        <w:shd w:val="clear" w:color="auto" w:fill="FFFFFF"/>
        <w:spacing w:before="0" w:beforeAutospacing="0" w:after="0" w:afterAutospacing="0"/>
        <w:jc w:val="both"/>
        <w:rPr>
          <w:color w:val="000000"/>
        </w:rPr>
      </w:pPr>
      <w:r w:rsidRPr="00E9370A">
        <w:rPr>
          <w:color w:val="000000"/>
        </w:rPr>
        <w:t>El nuevo punto focal de la frontera identificará buenas prácticas en el ámbito de los servicios transfronterizos de empleo, como la asociación desarrollada entre la región española de Galicia y la región portuguesa Norte.</w:t>
      </w:r>
    </w:p>
    <w:p w:rsidR="00E9370A" w:rsidRDefault="00E9370A" w:rsidP="00E9370A">
      <w:pPr>
        <w:pStyle w:val="NormalWeb"/>
        <w:shd w:val="clear" w:color="auto" w:fill="FFFFFF"/>
        <w:spacing w:before="0" w:beforeAutospacing="0" w:after="0" w:afterAutospacing="0"/>
        <w:jc w:val="both"/>
        <w:rPr>
          <w:color w:val="000000"/>
        </w:rPr>
      </w:pPr>
    </w:p>
    <w:p w:rsidR="00E9370A" w:rsidRPr="00E9370A" w:rsidRDefault="00E9370A" w:rsidP="00E9370A">
      <w:pPr>
        <w:pStyle w:val="NormalWeb"/>
        <w:shd w:val="clear" w:color="auto" w:fill="FFFFFF"/>
        <w:spacing w:before="0" w:beforeAutospacing="0" w:after="0" w:afterAutospacing="0"/>
        <w:jc w:val="both"/>
        <w:rPr>
          <w:color w:val="000000"/>
        </w:rPr>
      </w:pPr>
      <w:r w:rsidRPr="00E9370A">
        <w:rPr>
          <w:color w:val="000000"/>
        </w:rPr>
        <w:t xml:space="preserve">Las regiones que buscan profundizar su cooperación pueden obtener asesoramiento sobre el reconocimiento mutuo de cualificaciones, programas conjuntos de estudios o servicios de </w:t>
      </w:r>
      <w:proofErr w:type="spellStart"/>
      <w:r w:rsidRPr="00E9370A">
        <w:rPr>
          <w:color w:val="000000"/>
        </w:rPr>
        <w:t>coaching</w:t>
      </w:r>
      <w:proofErr w:type="spellEnd"/>
      <w:r w:rsidRPr="00E9370A">
        <w:rPr>
          <w:color w:val="000000"/>
        </w:rPr>
        <w:t xml:space="preserve"> para empresarios.</w:t>
      </w:r>
    </w:p>
    <w:p w:rsidR="00E9370A" w:rsidRDefault="00E9370A" w:rsidP="00E9370A">
      <w:pPr>
        <w:pStyle w:val="NormalWeb"/>
        <w:shd w:val="clear" w:color="auto" w:fill="FFFFFF"/>
        <w:spacing w:before="0" w:beforeAutospacing="0" w:after="0" w:afterAutospacing="0"/>
        <w:jc w:val="both"/>
        <w:rPr>
          <w:color w:val="000000"/>
        </w:rPr>
      </w:pPr>
    </w:p>
    <w:p w:rsidR="00E9370A" w:rsidRPr="00E9370A" w:rsidRDefault="00E9370A" w:rsidP="00E9370A">
      <w:pPr>
        <w:pStyle w:val="NormalWeb"/>
        <w:shd w:val="clear" w:color="auto" w:fill="FFFFFF"/>
        <w:spacing w:before="0" w:beforeAutospacing="0" w:after="0" w:afterAutospacing="0"/>
        <w:jc w:val="both"/>
        <w:rPr>
          <w:color w:val="000000"/>
        </w:rPr>
      </w:pPr>
      <w:r w:rsidRPr="00E9370A">
        <w:rPr>
          <w:color w:val="000000"/>
        </w:rPr>
        <w:lastRenderedPageBreak/>
        <w:t xml:space="preserve">Cuando no se pueden superar las diferencias en las normas y procedimientos, el </w:t>
      </w:r>
      <w:r>
        <w:rPr>
          <w:color w:val="000000"/>
        </w:rPr>
        <w:t>Centro de Cuestiones Fronterizas</w:t>
      </w:r>
      <w:r w:rsidRPr="00E9370A">
        <w:rPr>
          <w:color w:val="000000"/>
        </w:rPr>
        <w:t xml:space="preserve"> puede proporcionar buenas prácticas sobre cómo dar a los ciudadanos información fiable y comprensible sobre diferentes regímenes fiscales o de seguridad social, por ejemplo.</w:t>
      </w:r>
    </w:p>
    <w:p w:rsidR="00E9370A" w:rsidRDefault="00E9370A" w:rsidP="00E9370A">
      <w:pPr>
        <w:pStyle w:val="NormalWeb"/>
        <w:shd w:val="clear" w:color="auto" w:fill="FFFFFF"/>
        <w:spacing w:before="0" w:beforeAutospacing="0" w:after="0" w:afterAutospacing="0"/>
        <w:jc w:val="both"/>
        <w:rPr>
          <w:color w:val="000000"/>
        </w:rPr>
      </w:pPr>
    </w:p>
    <w:p w:rsidR="00E9370A" w:rsidRPr="00E9370A" w:rsidRDefault="00E9370A" w:rsidP="00E9370A">
      <w:pPr>
        <w:pStyle w:val="NormalWeb"/>
        <w:shd w:val="clear" w:color="auto" w:fill="FFFFFF"/>
        <w:spacing w:before="0" w:beforeAutospacing="0" w:after="0" w:afterAutospacing="0"/>
        <w:jc w:val="both"/>
        <w:rPr>
          <w:color w:val="000000"/>
        </w:rPr>
      </w:pPr>
      <w:r w:rsidRPr="00E9370A">
        <w:rPr>
          <w:color w:val="000000"/>
        </w:rPr>
        <w:t xml:space="preserve">Las buenas prácticas recogidas a través del </w:t>
      </w:r>
      <w:r>
        <w:rPr>
          <w:color w:val="000000"/>
        </w:rPr>
        <w:t>Centro de Cuestiones Fronterizas</w:t>
      </w:r>
      <w:r w:rsidRPr="00E9370A">
        <w:rPr>
          <w:color w:val="000000"/>
        </w:rPr>
        <w:t xml:space="preserve"> en este ámbito pueden contribuir a la creación de la futura </w:t>
      </w:r>
      <w:hyperlink r:id="rId14" w:history="1">
        <w:r w:rsidRPr="00E9370A">
          <w:rPr>
            <w:rStyle w:val="Hipervnculo"/>
            <w:color w:val="551A8B"/>
            <w:bdr w:val="none" w:sz="0" w:space="0" w:color="auto" w:frame="1"/>
          </w:rPr>
          <w:t>Autoridad Europea del Trabajo</w:t>
        </w:r>
      </w:hyperlink>
      <w:r w:rsidRPr="00E9370A">
        <w:rPr>
          <w:color w:val="000000"/>
        </w:rPr>
        <w:t xml:space="preserve"> anunciada por el Presidente </w:t>
      </w:r>
      <w:proofErr w:type="spellStart"/>
      <w:r w:rsidRPr="00E9370A">
        <w:rPr>
          <w:color w:val="000000"/>
        </w:rPr>
        <w:t>Juncker</w:t>
      </w:r>
      <w:proofErr w:type="spellEnd"/>
      <w:r w:rsidRPr="00E9370A">
        <w:rPr>
          <w:color w:val="000000"/>
        </w:rPr>
        <w:t xml:space="preserve"> en el </w:t>
      </w:r>
      <w:hyperlink r:id="rId15" w:history="1">
        <w:r w:rsidRPr="00E9370A">
          <w:rPr>
            <w:rStyle w:val="Hipervnculo"/>
            <w:color w:val="551A8B"/>
            <w:bdr w:val="none" w:sz="0" w:space="0" w:color="auto" w:frame="1"/>
          </w:rPr>
          <w:t>discurso del Estado de la Unión 2017</w:t>
        </w:r>
      </w:hyperlink>
      <w:r w:rsidRPr="00E9370A">
        <w:rPr>
          <w:color w:val="000000"/>
        </w:rPr>
        <w:t> , con el fin de reforzar la cooperación entre las autoridades del mercado laboral a todos los niveles situaciones transfronterizas.</w:t>
      </w:r>
    </w:p>
    <w:p w:rsidR="00E9370A" w:rsidRDefault="00E9370A" w:rsidP="00E9370A">
      <w:pPr>
        <w:pStyle w:val="NormalWeb"/>
        <w:shd w:val="clear" w:color="auto" w:fill="FFFFFF"/>
        <w:spacing w:before="0" w:beforeAutospacing="0" w:after="0" w:afterAutospacing="0"/>
        <w:jc w:val="both"/>
        <w:rPr>
          <w:color w:val="000000"/>
        </w:rPr>
      </w:pPr>
    </w:p>
    <w:p w:rsidR="00E9370A" w:rsidRDefault="00E9370A" w:rsidP="00E9370A">
      <w:pPr>
        <w:pStyle w:val="NormalWeb"/>
        <w:shd w:val="clear" w:color="auto" w:fill="FFFFFF"/>
        <w:spacing w:before="0" w:beforeAutospacing="0" w:after="0" w:afterAutospacing="0"/>
        <w:jc w:val="both"/>
        <w:rPr>
          <w:color w:val="000000"/>
        </w:rPr>
      </w:pPr>
      <w:r w:rsidRPr="00E9370A">
        <w:rPr>
          <w:color w:val="000000"/>
        </w:rPr>
        <w:t>La futura autoridad reforzará la cooperación administrativa en el mercado único, pondrá en común los instrumentos existentes para la movilidad transfronteriza, proporcionando una ventanilla única para los ciudadanos, las empresas y las autoridades públicas, luchando contra la legislación laboral y social, organizando actividades comunes de control transfronterizo y aprovechar las agencias y estructuras existentes para gestionar mejores actividades transfronterizas y conjuntas.</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Pr="00BB2242" w:rsidRDefault="00E9370A" w:rsidP="00BB2242">
      <w:pPr>
        <w:pStyle w:val="Ttulo1"/>
      </w:pPr>
      <w:r w:rsidRPr="00BB2242">
        <w:rPr>
          <w:rStyle w:val="Textoennegrita"/>
          <w:b w:val="0"/>
          <w:bCs w:val="0"/>
        </w:rPr>
        <w:t>Hacer negocios al otro lado de la frontera</w:t>
      </w:r>
    </w:p>
    <w:p w:rsidR="00E9370A" w:rsidRDefault="00E9370A" w:rsidP="00E9370A">
      <w:pPr>
        <w:pStyle w:val="NormalWeb"/>
        <w:shd w:val="clear" w:color="auto" w:fill="FFFFFF"/>
        <w:spacing w:before="0" w:beforeAutospacing="0" w:after="0" w:afterAutospacing="0"/>
        <w:jc w:val="both"/>
        <w:rPr>
          <w:color w:val="000000"/>
        </w:rPr>
      </w:pPr>
    </w:p>
    <w:p w:rsidR="00E9370A" w:rsidRPr="00E9370A" w:rsidRDefault="00E9370A" w:rsidP="00E9370A">
      <w:pPr>
        <w:pStyle w:val="NormalWeb"/>
        <w:shd w:val="clear" w:color="auto" w:fill="FFFFFF"/>
        <w:spacing w:before="0" w:beforeAutospacing="0" w:after="0" w:afterAutospacing="0"/>
        <w:jc w:val="both"/>
        <w:rPr>
          <w:color w:val="000000"/>
        </w:rPr>
      </w:pPr>
      <w:r w:rsidRPr="00E9370A">
        <w:rPr>
          <w:color w:val="000000"/>
        </w:rPr>
        <w:t>En consonancia con el esfuerzo más amplio de la Comisión por mejorar el entorno empresarial en Europa, especialmente a través del tercer pilar del </w:t>
      </w:r>
      <w:hyperlink r:id="rId16" w:history="1">
        <w:r w:rsidRPr="00E9370A">
          <w:rPr>
            <w:rStyle w:val="Hipervnculo"/>
            <w:color w:val="551A8B"/>
            <w:bdr w:val="none" w:sz="0" w:space="0" w:color="auto" w:frame="1"/>
          </w:rPr>
          <w:t xml:space="preserve">Plan </w:t>
        </w:r>
        <w:proofErr w:type="spellStart"/>
        <w:r w:rsidRPr="00E9370A">
          <w:rPr>
            <w:rStyle w:val="Hipervnculo"/>
            <w:color w:val="551A8B"/>
            <w:bdr w:val="none" w:sz="0" w:space="0" w:color="auto" w:frame="1"/>
          </w:rPr>
          <w:t>Juncker</w:t>
        </w:r>
        <w:proofErr w:type="spellEnd"/>
      </w:hyperlink>
      <w:r w:rsidRPr="00E9370A">
        <w:rPr>
          <w:color w:val="000000"/>
        </w:rPr>
        <w:t xml:space="preserve">, el </w:t>
      </w:r>
      <w:r>
        <w:rPr>
          <w:color w:val="000000"/>
        </w:rPr>
        <w:t>Centro de Cuestiones Fronterizas</w:t>
      </w:r>
      <w:r w:rsidRPr="00E9370A">
        <w:rPr>
          <w:color w:val="000000"/>
        </w:rPr>
        <w:t xml:space="preserve"> tiene por objeto estimular el diálogo y la cooperación entre las regiones fronterizas para eliminar los obstáculos a las inversiones.</w:t>
      </w:r>
    </w:p>
    <w:p w:rsidR="00E9370A" w:rsidRDefault="00E9370A" w:rsidP="00E9370A">
      <w:pPr>
        <w:pStyle w:val="NormalWeb"/>
        <w:shd w:val="clear" w:color="auto" w:fill="FFFFFF"/>
        <w:spacing w:before="0" w:beforeAutospacing="0" w:after="0" w:afterAutospacing="0"/>
        <w:jc w:val="both"/>
        <w:rPr>
          <w:color w:val="000000"/>
        </w:rPr>
      </w:pPr>
    </w:p>
    <w:p w:rsidR="00E9370A" w:rsidRPr="00E9370A" w:rsidRDefault="00E9370A" w:rsidP="00E9370A">
      <w:pPr>
        <w:pStyle w:val="NormalWeb"/>
        <w:shd w:val="clear" w:color="auto" w:fill="FFFFFF"/>
        <w:spacing w:before="0" w:beforeAutospacing="0" w:after="0" w:afterAutospacing="0"/>
        <w:jc w:val="both"/>
        <w:rPr>
          <w:color w:val="000000"/>
        </w:rPr>
      </w:pPr>
      <w:r w:rsidRPr="00E9370A">
        <w:rPr>
          <w:color w:val="000000"/>
        </w:rPr>
        <w:t xml:space="preserve">Los expertos del </w:t>
      </w:r>
      <w:r>
        <w:rPr>
          <w:color w:val="000000"/>
        </w:rPr>
        <w:t>Centro de Cuestiones Fronterizas</w:t>
      </w:r>
      <w:r w:rsidRPr="00E9370A">
        <w:rPr>
          <w:color w:val="000000"/>
        </w:rPr>
        <w:t xml:space="preserve"> se pondrán en contacto con las autoridades regionales y las empresas a través de la red en línea. A petición, prestarán apoyo a una mayor armonización de las normas de creación de empresas, compartirán buenas prácticas de otras regiones fronterizas (servicios de </w:t>
      </w:r>
      <w:proofErr w:type="spellStart"/>
      <w:r w:rsidRPr="00E9370A">
        <w:rPr>
          <w:color w:val="000000"/>
        </w:rPr>
        <w:t>coaching</w:t>
      </w:r>
      <w:proofErr w:type="spellEnd"/>
      <w:r w:rsidRPr="00E9370A">
        <w:rPr>
          <w:color w:val="000000"/>
        </w:rPr>
        <w:t xml:space="preserve"> y formación, proyectos de promoción del bilingüismo, plataformas de vacantes en la frontera) y promover un mayor uso de procedimientos en </w:t>
      </w:r>
      <w:r w:rsidR="00BB2242" w:rsidRPr="00E9370A">
        <w:rPr>
          <w:color w:val="000000"/>
        </w:rPr>
        <w:t>línea.</w:t>
      </w:r>
    </w:p>
    <w:p w:rsidR="00E9370A" w:rsidRDefault="00E9370A" w:rsidP="00E9370A">
      <w:pPr>
        <w:pStyle w:val="NormalWeb"/>
        <w:shd w:val="clear" w:color="auto" w:fill="FFFFFF"/>
        <w:spacing w:before="0" w:beforeAutospacing="0" w:after="0" w:afterAutospacing="0"/>
        <w:jc w:val="both"/>
        <w:rPr>
          <w:color w:val="000000"/>
        </w:rPr>
      </w:pPr>
    </w:p>
    <w:p w:rsidR="00E9370A" w:rsidRPr="00E9370A" w:rsidRDefault="00E9370A" w:rsidP="00E9370A">
      <w:pPr>
        <w:pStyle w:val="NormalWeb"/>
        <w:shd w:val="clear" w:color="auto" w:fill="FFFFFF"/>
        <w:spacing w:before="0" w:beforeAutospacing="0" w:after="0" w:afterAutospacing="0"/>
        <w:jc w:val="both"/>
        <w:rPr>
          <w:color w:val="000000"/>
        </w:rPr>
      </w:pPr>
      <w:r w:rsidRPr="00E9370A">
        <w:rPr>
          <w:color w:val="000000"/>
        </w:rPr>
        <w:t xml:space="preserve">En este sentido, el </w:t>
      </w:r>
      <w:r>
        <w:rPr>
          <w:color w:val="000000"/>
        </w:rPr>
        <w:t>Centro de Cuestiones Fronterizas</w:t>
      </w:r>
      <w:r w:rsidRPr="00E9370A">
        <w:rPr>
          <w:color w:val="000000"/>
        </w:rPr>
        <w:t xml:space="preserve"> informará a las partes interesadas sobre las iniciativas de la Comisión que beneficiarán a las empresas que buscan hacer negocios al otro lado de la frontera:</w:t>
      </w:r>
    </w:p>
    <w:p w:rsidR="00E9370A" w:rsidRDefault="00E9370A" w:rsidP="00E9370A">
      <w:pPr>
        <w:pStyle w:val="NormalWeb"/>
        <w:shd w:val="clear" w:color="auto" w:fill="FFFFFF"/>
        <w:spacing w:before="0" w:beforeAutospacing="0" w:after="0" w:afterAutospacing="0"/>
        <w:jc w:val="both"/>
        <w:rPr>
          <w:rStyle w:val="Textoennegrita"/>
          <w:color w:val="000000"/>
          <w:bdr w:val="none" w:sz="0" w:space="0" w:color="auto" w:frame="1"/>
        </w:rPr>
      </w:pPr>
    </w:p>
    <w:p w:rsidR="00E9370A" w:rsidRPr="00E9370A" w:rsidRDefault="00E9370A" w:rsidP="00E9370A">
      <w:pPr>
        <w:pStyle w:val="NormalWeb"/>
        <w:shd w:val="clear" w:color="auto" w:fill="FFFFFF"/>
        <w:spacing w:before="0" w:beforeAutospacing="0" w:after="0" w:afterAutospacing="0"/>
        <w:jc w:val="both"/>
        <w:rPr>
          <w:color w:val="000000"/>
        </w:rPr>
      </w:pPr>
      <w:hyperlink r:id="rId17" w:history="1">
        <w:r w:rsidRPr="00E9370A">
          <w:rPr>
            <w:rStyle w:val="Hipervnculo"/>
            <w:b/>
            <w:bCs/>
            <w:color w:val="551A8B"/>
            <w:bdr w:val="none" w:sz="0" w:space="0" w:color="auto" w:frame="1"/>
          </w:rPr>
          <w:t>Una puerta de enlace digital única</w:t>
        </w:r>
      </w:hyperlink>
      <w:r w:rsidRPr="00E9370A">
        <w:rPr>
          <w:color w:val="000000"/>
        </w:rPr>
        <w:t> ayudará a las personas y empresas a tener acceso más fácil a información confiable, procedimientos administrativos en línea y servicios de asistencia. Cualquier procedimiento disponible actualmente en línea para los usuarios nacionales será accesible a los usuarios de otros Estados miembros y en una lengua adicional de la UE. 13 procedimientos administrativos clave estarán disponibles en línea, incluyendo la creación de una empresa.</w:t>
      </w:r>
    </w:p>
    <w:p w:rsidR="00E9370A" w:rsidRDefault="00E9370A" w:rsidP="00E9370A">
      <w:pPr>
        <w:pStyle w:val="NormalWeb"/>
        <w:shd w:val="clear" w:color="auto" w:fill="FFFFFF"/>
        <w:spacing w:before="0" w:beforeAutospacing="0" w:after="0" w:afterAutospacing="0"/>
        <w:jc w:val="both"/>
        <w:rPr>
          <w:color w:val="000000"/>
        </w:rPr>
      </w:pPr>
    </w:p>
    <w:p w:rsidR="00E9370A" w:rsidRPr="00E9370A" w:rsidRDefault="00E9370A" w:rsidP="00E9370A">
      <w:pPr>
        <w:pStyle w:val="NormalWeb"/>
        <w:shd w:val="clear" w:color="auto" w:fill="FFFFFF"/>
        <w:spacing w:before="0" w:beforeAutospacing="0" w:after="0" w:afterAutospacing="0"/>
        <w:jc w:val="both"/>
        <w:rPr>
          <w:color w:val="000000"/>
        </w:rPr>
      </w:pPr>
      <w:r w:rsidRPr="00E9370A">
        <w:rPr>
          <w:color w:val="000000"/>
        </w:rPr>
        <w:t>Por otra parte, los ciudadanos y las empresas que tienen problemas en una situación transfronteriza debido a la aplicación incorrecta de la legislación de la UE por una autoridad pública, deben ser informados y señalizados a </w:t>
      </w:r>
      <w:hyperlink r:id="rId18" w:history="1">
        <w:r w:rsidRPr="00E9370A">
          <w:rPr>
            <w:rStyle w:val="Hipervnculo"/>
            <w:b/>
            <w:bCs/>
            <w:color w:val="551A8B"/>
            <w:bdr w:val="none" w:sz="0" w:space="0" w:color="auto" w:frame="1"/>
          </w:rPr>
          <w:t>SOLVIT,</w:t>
        </w:r>
      </w:hyperlink>
      <w:r w:rsidRPr="00E9370A">
        <w:rPr>
          <w:rStyle w:val="Textoennegrita"/>
          <w:color w:val="000000"/>
          <w:bdr w:val="none" w:sz="0" w:space="0" w:color="auto" w:frame="1"/>
        </w:rPr>
        <w:t> </w:t>
      </w:r>
      <w:r w:rsidRPr="00E9370A">
        <w:rPr>
          <w:color w:val="000000"/>
        </w:rPr>
        <w:t>si procede. SOLVIT es una red que ayuda a empresas y empresas a resolver problemas en el mercado único.</w:t>
      </w:r>
    </w:p>
    <w:p w:rsidR="00E9370A" w:rsidRPr="00E9370A" w:rsidRDefault="00E9370A" w:rsidP="00E9370A">
      <w:pPr>
        <w:pStyle w:val="NormalWeb"/>
        <w:shd w:val="clear" w:color="auto" w:fill="FFFFFF"/>
        <w:spacing w:before="0" w:beforeAutospacing="0" w:after="0" w:afterAutospacing="0"/>
        <w:jc w:val="both"/>
        <w:rPr>
          <w:color w:val="000000"/>
        </w:rPr>
      </w:pPr>
      <w:r w:rsidRPr="00E9370A">
        <w:rPr>
          <w:color w:val="000000"/>
        </w:rPr>
        <w:lastRenderedPageBreak/>
        <w:t>Por último, en enero de 2017, como parte de un paquete más amplio de </w:t>
      </w:r>
      <w:hyperlink r:id="rId19" w:history="1">
        <w:r w:rsidRPr="00E9370A">
          <w:rPr>
            <w:rStyle w:val="Hipervnculo"/>
            <w:color w:val="551A8B"/>
            <w:bdr w:val="none" w:sz="0" w:space="0" w:color="auto" w:frame="1"/>
          </w:rPr>
          <w:t>economía de servicios</w:t>
        </w:r>
      </w:hyperlink>
      <w:r w:rsidRPr="00E9370A">
        <w:rPr>
          <w:color w:val="000000"/>
        </w:rPr>
        <w:t>, la Comisión propuso una </w:t>
      </w:r>
      <w:r w:rsidRPr="00E9370A">
        <w:rPr>
          <w:rStyle w:val="Textoennegrita"/>
          <w:color w:val="000000"/>
          <w:bdr w:val="none" w:sz="0" w:space="0" w:color="auto" w:frame="1"/>
        </w:rPr>
        <w:t xml:space="preserve">nueva tarjeta electrónica </w:t>
      </w:r>
      <w:r w:rsidR="00BB2242" w:rsidRPr="00E9370A">
        <w:rPr>
          <w:rStyle w:val="Textoennegrita"/>
          <w:color w:val="000000"/>
          <w:bdr w:val="none" w:sz="0" w:space="0" w:color="auto" w:frame="1"/>
        </w:rPr>
        <w:t>europea</w:t>
      </w:r>
      <w:r w:rsidR="00BB2242" w:rsidRPr="00E9370A">
        <w:rPr>
          <w:color w:val="000000"/>
        </w:rPr>
        <w:t>;</w:t>
      </w:r>
      <w:r w:rsidRPr="00E9370A">
        <w:rPr>
          <w:color w:val="000000"/>
        </w:rPr>
        <w:t xml:space="preserve"> un procedimiento en línea simplificado que facilitaría a los proveedores de servicios empresariales (empresas de ingeniería, consultores de </w:t>
      </w:r>
      <w:proofErr w:type="gramStart"/>
      <w:r w:rsidRPr="00E9370A">
        <w:rPr>
          <w:color w:val="000000"/>
        </w:rPr>
        <w:t>TI ...</w:t>
      </w:r>
      <w:proofErr w:type="gramEnd"/>
      <w:r w:rsidRPr="00E9370A">
        <w:rPr>
          <w:color w:val="000000"/>
        </w:rPr>
        <w:t>) y servicios de construcción completar las formalidades administrativas necesarias para prestar servicios en el extranjero.</w:t>
      </w:r>
    </w:p>
    <w:p w:rsidR="00E9370A" w:rsidRPr="00E9370A" w:rsidRDefault="00E9370A" w:rsidP="00E9370A">
      <w:pPr>
        <w:shd w:val="clear" w:color="auto" w:fill="FFFFFF"/>
        <w:spacing w:after="0" w:line="240" w:lineRule="auto"/>
        <w:ind w:right="200"/>
        <w:jc w:val="both"/>
        <w:rPr>
          <w:rStyle w:val="Textoennegrita"/>
          <w:rFonts w:ascii="Times New Roman" w:hAnsi="Times New Roman" w:cs="Times New Roman"/>
          <w:b w:val="0"/>
          <w:bCs w:val="0"/>
          <w:color w:val="000000"/>
          <w:sz w:val="24"/>
          <w:szCs w:val="24"/>
        </w:rPr>
      </w:pPr>
    </w:p>
    <w:p w:rsidR="00E9370A" w:rsidRPr="00BB2242" w:rsidRDefault="00E9370A" w:rsidP="00BB2242">
      <w:pPr>
        <w:pStyle w:val="Ttulo1"/>
      </w:pPr>
      <w:r w:rsidRPr="00BB2242">
        <w:rPr>
          <w:rStyle w:val="Textoennegrita"/>
          <w:b w:val="0"/>
          <w:bCs w:val="0"/>
        </w:rPr>
        <w:t>Uso de los servicios públicos </w:t>
      </w:r>
    </w:p>
    <w:p w:rsidR="00E9370A" w:rsidRDefault="00E9370A" w:rsidP="00E9370A">
      <w:pPr>
        <w:pStyle w:val="NormalWeb"/>
        <w:shd w:val="clear" w:color="auto" w:fill="FFFFFF"/>
        <w:spacing w:before="0" w:beforeAutospacing="0" w:after="0" w:afterAutospacing="0"/>
        <w:jc w:val="both"/>
        <w:rPr>
          <w:color w:val="000000"/>
        </w:rPr>
      </w:pPr>
    </w:p>
    <w:p w:rsidR="00E9370A" w:rsidRDefault="00E9370A" w:rsidP="00E9370A">
      <w:pPr>
        <w:pStyle w:val="NormalWeb"/>
        <w:shd w:val="clear" w:color="auto" w:fill="FFFFFF"/>
        <w:spacing w:before="0" w:beforeAutospacing="0" w:after="0" w:afterAutospacing="0"/>
        <w:jc w:val="both"/>
        <w:rPr>
          <w:color w:val="000000"/>
        </w:rPr>
      </w:pPr>
      <w:r w:rsidRPr="00E9370A">
        <w:rPr>
          <w:color w:val="000000"/>
        </w:rPr>
        <w:t xml:space="preserve">La organización de los servicios es una competencia a nivel nacional, regional y local. El </w:t>
      </w:r>
      <w:r>
        <w:rPr>
          <w:color w:val="000000"/>
        </w:rPr>
        <w:t>Centro de Cuestiones Fronterizas</w:t>
      </w:r>
      <w:r w:rsidRPr="00E9370A">
        <w:rPr>
          <w:color w:val="000000"/>
        </w:rPr>
        <w:t xml:space="preserve"> pondrá a disposición buenas prácticas y proporcionará asesoramiento especializado sobre la creación de servicios transfronterizos eficientes.</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Default="00E9370A" w:rsidP="00E9370A">
      <w:pPr>
        <w:pStyle w:val="NormalWeb"/>
        <w:shd w:val="clear" w:color="auto" w:fill="FFFFFF"/>
        <w:spacing w:before="0" w:beforeAutospacing="0" w:after="0" w:afterAutospacing="0"/>
        <w:jc w:val="both"/>
        <w:rPr>
          <w:color w:val="000000"/>
        </w:rPr>
      </w:pPr>
      <w:r w:rsidRPr="00E9370A">
        <w:rPr>
          <w:color w:val="000000"/>
        </w:rPr>
        <w:t>Estas buenas prácticas incluyen, en el ámbito del transporte, la aglomeración transfronteriza de Estrasburgo-</w:t>
      </w:r>
      <w:proofErr w:type="spellStart"/>
      <w:r w:rsidRPr="00E9370A">
        <w:rPr>
          <w:color w:val="000000"/>
        </w:rPr>
        <w:t>Kehl</w:t>
      </w:r>
      <w:proofErr w:type="spellEnd"/>
      <w:r w:rsidRPr="00E9370A">
        <w:rPr>
          <w:color w:val="000000"/>
        </w:rPr>
        <w:t xml:space="preserve"> en la frontera franco-alemana. Se desarrolló una línea de tranvía para unir las dos ciudades, así como una zona tarifaria común para tránsito transfronterizo solamente; lea más sobre él aquí. En el ámbito de la asistencia sanitaria, se firmó entre los dos países un </w:t>
      </w:r>
      <w:hyperlink r:id="rId20" w:history="1">
        <w:r w:rsidRPr="00E9370A">
          <w:rPr>
            <w:rStyle w:val="Hipervnculo"/>
            <w:color w:val="551A8B"/>
            <w:bdr w:val="none" w:sz="0" w:space="0" w:color="auto" w:frame="1"/>
          </w:rPr>
          <w:t>acuerdo por el que se</w:t>
        </w:r>
      </w:hyperlink>
      <w:r w:rsidRPr="00E9370A">
        <w:rPr>
          <w:color w:val="000000"/>
        </w:rPr>
        <w:t> establecen 7 zonas fronterizas sanitarias organizadas en la frontera franco-belga. Benefició a más de 20.000 pacientes que han recibido atención médica más cercana a su residencia en el país vecino.</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Pr="00E9370A" w:rsidRDefault="00E9370A" w:rsidP="00E9370A">
      <w:pPr>
        <w:pStyle w:val="NormalWeb"/>
        <w:shd w:val="clear" w:color="auto" w:fill="FFFFFF"/>
        <w:spacing w:before="0" w:beforeAutospacing="0" w:after="0" w:afterAutospacing="0"/>
        <w:jc w:val="both"/>
        <w:rPr>
          <w:color w:val="000000"/>
        </w:rPr>
      </w:pPr>
      <w:r w:rsidRPr="00E9370A">
        <w:rPr>
          <w:color w:val="000000"/>
        </w:rPr>
        <w:t xml:space="preserve">Además, el </w:t>
      </w:r>
      <w:r>
        <w:rPr>
          <w:color w:val="000000"/>
        </w:rPr>
        <w:t>Centro de Cuestiones Fronterizas</w:t>
      </w:r>
      <w:r w:rsidRPr="00E9370A">
        <w:rPr>
          <w:color w:val="000000"/>
        </w:rPr>
        <w:t xml:space="preserve"> establecerá un </w:t>
      </w:r>
      <w:r w:rsidRPr="00E9370A">
        <w:rPr>
          <w:rStyle w:val="Textoennegrita"/>
          <w:color w:val="000000"/>
          <w:bdr w:val="none" w:sz="0" w:space="0" w:color="auto" w:frame="1"/>
        </w:rPr>
        <w:t>mapa de las instalaciones y servicios sanitarios transfronterizos existentes en</w:t>
      </w:r>
      <w:r w:rsidRPr="00E9370A">
        <w:rPr>
          <w:color w:val="000000"/>
        </w:rPr>
        <w:t xml:space="preserve"> toda la UE y compartirá este estudio con las partes interesadas. El </w:t>
      </w:r>
      <w:r>
        <w:rPr>
          <w:color w:val="000000"/>
        </w:rPr>
        <w:t>Centro de Cuestiones Fronterizas</w:t>
      </w:r>
      <w:r w:rsidRPr="00E9370A">
        <w:rPr>
          <w:color w:val="000000"/>
        </w:rPr>
        <w:t xml:space="preserve"> también </w:t>
      </w:r>
      <w:proofErr w:type="gramStart"/>
      <w:r w:rsidRPr="00E9370A">
        <w:rPr>
          <w:color w:val="000000"/>
        </w:rPr>
        <w:t>elaborará</w:t>
      </w:r>
      <w:proofErr w:type="gramEnd"/>
      <w:r w:rsidRPr="00E9370A">
        <w:rPr>
          <w:color w:val="000000"/>
        </w:rPr>
        <w:t xml:space="preserve"> y compartirá </w:t>
      </w:r>
      <w:r w:rsidRPr="00E9370A">
        <w:rPr>
          <w:rStyle w:val="Textoennegrita"/>
          <w:color w:val="000000"/>
          <w:bdr w:val="none" w:sz="0" w:space="0" w:color="auto" w:frame="1"/>
        </w:rPr>
        <w:t>un estudio de los enlaces ferroviarios que faltan a lo</w:t>
      </w:r>
      <w:r w:rsidRPr="00E9370A">
        <w:rPr>
          <w:color w:val="000000"/>
        </w:rPr>
        <w:t> largo de las fronteras interiores de la UE. Ambos estudios estarán disponibles a finales de 2018.</w:t>
      </w:r>
    </w:p>
    <w:p w:rsidR="00BB2242" w:rsidRDefault="00BB2242" w:rsidP="00E9370A">
      <w:pPr>
        <w:pStyle w:val="NormalWeb"/>
        <w:shd w:val="clear" w:color="auto" w:fill="FFFFFF"/>
        <w:spacing w:before="0" w:beforeAutospacing="0" w:after="0" w:afterAutospacing="0"/>
        <w:jc w:val="both"/>
        <w:rPr>
          <w:rStyle w:val="Textoennegrita"/>
          <w:color w:val="000000"/>
          <w:bdr w:val="none" w:sz="0" w:space="0" w:color="auto" w:frame="1"/>
        </w:rPr>
      </w:pPr>
    </w:p>
    <w:p w:rsidR="00E9370A" w:rsidRPr="00BB2242" w:rsidRDefault="00E9370A" w:rsidP="00BB2242">
      <w:pPr>
        <w:pStyle w:val="Ttulo1"/>
        <w:rPr>
          <w:rStyle w:val="Textoennegrita"/>
          <w:b w:val="0"/>
          <w:bCs w:val="0"/>
        </w:rPr>
      </w:pPr>
      <w:r w:rsidRPr="00BB2242">
        <w:rPr>
          <w:rStyle w:val="Textoennegrita"/>
          <w:b w:val="0"/>
          <w:bCs w:val="0"/>
        </w:rPr>
        <w:t>Convocatoria de proyectos innovadores</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Default="00E9370A" w:rsidP="00E9370A">
      <w:pPr>
        <w:pStyle w:val="NormalWeb"/>
        <w:shd w:val="clear" w:color="auto" w:fill="FFFFFF"/>
        <w:spacing w:before="0" w:beforeAutospacing="0" w:after="0" w:afterAutospacing="0"/>
        <w:jc w:val="both"/>
        <w:rPr>
          <w:color w:val="000000"/>
        </w:rPr>
      </w:pPr>
      <w:r w:rsidRPr="00E9370A">
        <w:rPr>
          <w:color w:val="000000"/>
        </w:rPr>
        <w:t>A finales de 2017, la Comisión lanzará una convocatoria que seleccionará </w:t>
      </w:r>
      <w:r w:rsidRPr="00E9370A">
        <w:rPr>
          <w:rStyle w:val="Textoennegrita"/>
          <w:color w:val="000000"/>
          <w:bdr w:val="none" w:sz="0" w:space="0" w:color="auto" w:frame="1"/>
        </w:rPr>
        <w:t>hasta 20 proyectos</w:t>
      </w:r>
      <w:r w:rsidRPr="00E9370A">
        <w:rPr>
          <w:color w:val="000000"/>
        </w:rPr>
        <w:t> que propongan soluciones innovadoras a las cuestiones transfronterizas. El presupuesto global de la convocatoria asciende a 600.000 euros del </w:t>
      </w:r>
      <w:hyperlink r:id="rId21" w:history="1">
        <w:r w:rsidRPr="00E9370A">
          <w:rPr>
            <w:rStyle w:val="Hipervnculo"/>
            <w:color w:val="551A8B"/>
            <w:bdr w:val="none" w:sz="0" w:space="0" w:color="auto" w:frame="1"/>
          </w:rPr>
          <w:t>Fondo Europeo de Desarrollo Regional</w:t>
        </w:r>
      </w:hyperlink>
      <w:r w:rsidRPr="00E9370A">
        <w:rPr>
          <w:color w:val="000000"/>
        </w:rPr>
        <w:t>(FEDER). Estos proyectos innovadores deben poder reproducirse fácilmente en otras regiones fronterizas de la UE.</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Pr="00BB2242" w:rsidRDefault="00E9370A" w:rsidP="00BB2242">
      <w:pPr>
        <w:pStyle w:val="Ttulo1"/>
        <w:rPr>
          <w:rStyle w:val="Textoennegrita"/>
          <w:b w:val="0"/>
          <w:bCs w:val="0"/>
        </w:rPr>
      </w:pPr>
      <w:r w:rsidRPr="00BB2242">
        <w:rPr>
          <w:rStyle w:val="Textoennegrita"/>
          <w:b w:val="0"/>
          <w:bCs w:val="0"/>
        </w:rPr>
        <w:t>El futuro de Interreg</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Default="00E9370A" w:rsidP="00E9370A">
      <w:pPr>
        <w:pStyle w:val="NormalWeb"/>
        <w:shd w:val="clear" w:color="auto" w:fill="FFFFFF"/>
        <w:spacing w:before="0" w:beforeAutospacing="0" w:after="0" w:afterAutospacing="0"/>
        <w:jc w:val="both"/>
        <w:rPr>
          <w:color w:val="000000"/>
        </w:rPr>
      </w:pPr>
      <w:r w:rsidRPr="00E9370A">
        <w:rPr>
          <w:color w:val="000000"/>
        </w:rPr>
        <w:t>Fundada en 1990, Interreg se ha convertido en un instrumento clave para la cooperación transfronteriza en el marco de la política de cohesión de la UE. Interreg ayuda a los socios de ambos lados de la frontera a encontrar soluciones comunes a los desafíos comunes en el ámbito de la salud, la investigación y la educación, el transporte o el uso de recursos sostenibles.</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Default="00E9370A" w:rsidP="00E9370A">
      <w:pPr>
        <w:pStyle w:val="NormalWeb"/>
        <w:shd w:val="clear" w:color="auto" w:fill="FFFFFF"/>
        <w:spacing w:before="0" w:beforeAutospacing="0" w:after="0" w:afterAutospacing="0"/>
        <w:jc w:val="both"/>
        <w:rPr>
          <w:color w:val="000000"/>
        </w:rPr>
      </w:pPr>
      <w:r w:rsidRPr="00E9370A">
        <w:rPr>
          <w:color w:val="000000"/>
        </w:rPr>
        <w:lastRenderedPageBreak/>
        <w:t>En el período de financiación 2014-2020, más de 6.000 millones de euros del FEDER se invertirán a lo largo de las fronteras interiores europeas.</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Default="00E9370A" w:rsidP="00E9370A">
      <w:pPr>
        <w:pStyle w:val="NormalWeb"/>
        <w:shd w:val="clear" w:color="auto" w:fill="FFFFFF"/>
        <w:spacing w:before="0" w:beforeAutospacing="0" w:after="0" w:afterAutospacing="0"/>
        <w:jc w:val="both"/>
        <w:rPr>
          <w:rStyle w:val="Textoennegrita"/>
          <w:color w:val="000000"/>
          <w:bdr w:val="none" w:sz="0" w:space="0" w:color="auto" w:frame="1"/>
        </w:rPr>
      </w:pPr>
      <w:r w:rsidRPr="00E9370A">
        <w:rPr>
          <w:color w:val="000000"/>
        </w:rPr>
        <w:t xml:space="preserve">Esta comunicación, así como las retroalimentaciones recogidas a través del </w:t>
      </w:r>
      <w:r>
        <w:rPr>
          <w:color w:val="000000"/>
        </w:rPr>
        <w:t>Centro de Cuestiones Fronterizas</w:t>
      </w:r>
      <w:r w:rsidRPr="00E9370A">
        <w:rPr>
          <w:color w:val="000000"/>
        </w:rPr>
        <w:t xml:space="preserve"> y las enseñanzas extraídas de la ejecución de los proyectos innovadores seleccionados, alimentarán la reflexión sobre </w:t>
      </w:r>
      <w:r w:rsidRPr="00E9370A">
        <w:rPr>
          <w:rStyle w:val="Textoennegrita"/>
          <w:color w:val="000000"/>
          <w:bdr w:val="none" w:sz="0" w:space="0" w:color="auto" w:frame="1"/>
        </w:rPr>
        <w:t>la próxima generación de programas Interreg para el período posterior a 2020.</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Default="00E9370A" w:rsidP="00E9370A">
      <w:pPr>
        <w:pStyle w:val="NormalWeb"/>
        <w:shd w:val="clear" w:color="auto" w:fill="FFFFFF"/>
        <w:spacing w:before="0" w:beforeAutospacing="0" w:after="0" w:afterAutospacing="0"/>
        <w:jc w:val="both"/>
        <w:rPr>
          <w:color w:val="000000"/>
        </w:rPr>
      </w:pPr>
      <w:r w:rsidRPr="00E9370A">
        <w:rPr>
          <w:color w:val="000000"/>
        </w:rPr>
        <w:t>La comunicación ya establece algunos puntos de discusión:</w:t>
      </w:r>
    </w:p>
    <w:p w:rsidR="00E9370A" w:rsidRPr="00E9370A" w:rsidRDefault="00E9370A" w:rsidP="00E9370A">
      <w:pPr>
        <w:pStyle w:val="NormalWeb"/>
        <w:shd w:val="clear" w:color="auto" w:fill="FFFFFF"/>
        <w:spacing w:before="0" w:beforeAutospacing="0" w:after="0" w:afterAutospacing="0"/>
        <w:jc w:val="both"/>
        <w:rPr>
          <w:color w:val="000000"/>
        </w:rPr>
      </w:pPr>
    </w:p>
    <w:p w:rsidR="00E9370A" w:rsidRPr="00BB2242" w:rsidRDefault="00E9370A" w:rsidP="00BB2242">
      <w:pPr>
        <w:pStyle w:val="Prrafodelista"/>
        <w:numPr>
          <w:ilvl w:val="0"/>
          <w:numId w:val="7"/>
        </w:numPr>
        <w:shd w:val="clear" w:color="auto" w:fill="FFFFFF"/>
        <w:spacing w:after="0" w:line="240" w:lineRule="auto"/>
        <w:ind w:right="200"/>
        <w:jc w:val="both"/>
        <w:rPr>
          <w:rFonts w:ascii="Times New Roman" w:hAnsi="Times New Roman" w:cs="Times New Roman"/>
          <w:color w:val="000000"/>
          <w:sz w:val="24"/>
          <w:szCs w:val="24"/>
        </w:rPr>
      </w:pPr>
      <w:r w:rsidRPr="00BB2242">
        <w:rPr>
          <w:rFonts w:ascii="Times New Roman" w:hAnsi="Times New Roman" w:cs="Times New Roman"/>
          <w:color w:val="000000"/>
          <w:sz w:val="24"/>
          <w:szCs w:val="24"/>
        </w:rPr>
        <w:t>Garantizar la financiación de la UE para abordar las cuestiones transfronterizas institucionales, jurídicas o administrativas</w:t>
      </w:r>
    </w:p>
    <w:p w:rsidR="00E9370A" w:rsidRPr="00BB2242" w:rsidRDefault="00E9370A" w:rsidP="00BB2242">
      <w:pPr>
        <w:pStyle w:val="Prrafodelista"/>
        <w:numPr>
          <w:ilvl w:val="0"/>
          <w:numId w:val="7"/>
        </w:numPr>
        <w:shd w:val="clear" w:color="auto" w:fill="FFFFFF"/>
        <w:spacing w:after="0" w:line="240" w:lineRule="auto"/>
        <w:ind w:right="200"/>
        <w:jc w:val="both"/>
        <w:rPr>
          <w:rFonts w:ascii="Times New Roman" w:hAnsi="Times New Roman" w:cs="Times New Roman"/>
          <w:color w:val="000000"/>
          <w:sz w:val="24"/>
          <w:szCs w:val="24"/>
        </w:rPr>
      </w:pPr>
      <w:r w:rsidRPr="00BB2242">
        <w:rPr>
          <w:rFonts w:ascii="Times New Roman" w:hAnsi="Times New Roman" w:cs="Times New Roman"/>
          <w:color w:val="000000"/>
          <w:sz w:val="24"/>
          <w:szCs w:val="24"/>
        </w:rPr>
        <w:t>Introducción de la posibilidad de financiar enlaces de transporte o servicios públicos conjuntos ausentes</w:t>
      </w:r>
    </w:p>
    <w:p w:rsidR="00E9370A" w:rsidRPr="00BB2242" w:rsidRDefault="00E9370A" w:rsidP="00BB2242">
      <w:pPr>
        <w:pStyle w:val="Prrafodelista"/>
        <w:numPr>
          <w:ilvl w:val="0"/>
          <w:numId w:val="7"/>
        </w:numPr>
        <w:shd w:val="clear" w:color="auto" w:fill="FFFFFF"/>
        <w:spacing w:after="0" w:line="240" w:lineRule="auto"/>
        <w:ind w:right="200"/>
        <w:jc w:val="both"/>
        <w:rPr>
          <w:rFonts w:ascii="Times New Roman" w:hAnsi="Times New Roman" w:cs="Times New Roman"/>
          <w:color w:val="000000"/>
          <w:sz w:val="24"/>
          <w:szCs w:val="24"/>
        </w:rPr>
      </w:pPr>
      <w:r w:rsidRPr="00BB2242">
        <w:rPr>
          <w:rFonts w:ascii="Times New Roman" w:hAnsi="Times New Roman" w:cs="Times New Roman"/>
          <w:color w:val="000000"/>
          <w:sz w:val="24"/>
          <w:szCs w:val="24"/>
        </w:rPr>
        <w:t>Incluir elementos de creación de instituciones en los programas de financiación y teniendo en cuenta los obstáculos identificados</w:t>
      </w:r>
    </w:p>
    <w:p w:rsidR="00E96B33" w:rsidRPr="00E9370A" w:rsidRDefault="00E96B33" w:rsidP="00E9370A">
      <w:pPr>
        <w:spacing w:after="0" w:line="240" w:lineRule="auto"/>
        <w:jc w:val="both"/>
        <w:rPr>
          <w:rFonts w:ascii="Times New Roman" w:hAnsi="Times New Roman" w:cs="Times New Roman"/>
          <w:sz w:val="24"/>
          <w:szCs w:val="24"/>
        </w:rPr>
      </w:pPr>
    </w:p>
    <w:sectPr w:rsidR="00E96B33" w:rsidRPr="00E9370A">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EB4" w:rsidRDefault="00995EB4" w:rsidP="00EA6313">
      <w:pPr>
        <w:spacing w:after="0" w:line="240" w:lineRule="auto"/>
      </w:pPr>
      <w:r>
        <w:separator/>
      </w:r>
    </w:p>
  </w:endnote>
  <w:endnote w:type="continuationSeparator" w:id="0">
    <w:p w:rsidR="00995EB4" w:rsidRDefault="00995EB4" w:rsidP="00EA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7A0500" w:rsidRPr="007A0500" w:rsidTr="007A0500">
      <w:trPr>
        <w:jc w:val="center"/>
      </w:trPr>
      <w:tc>
        <w:tcPr>
          <w:tcW w:w="2881" w:type="dxa"/>
          <w:vAlign w:val="bottom"/>
          <w:hideMark/>
        </w:tcPr>
        <w:p w:rsidR="007A0500" w:rsidRDefault="007A0500" w:rsidP="007A0500">
          <w:pPr>
            <w:pStyle w:val="Piedepgina"/>
            <w:jc w:val="center"/>
            <w:rPr>
              <w:b/>
              <w:i/>
              <w:color w:val="808080" w:themeColor="background1" w:themeShade="80"/>
              <w:sz w:val="12"/>
              <w:szCs w:val="12"/>
              <w:lang w:val="en-US" w:eastAsia="es-ES"/>
            </w:rPr>
          </w:pPr>
          <w:proofErr w:type="spellStart"/>
          <w:r>
            <w:rPr>
              <w:b/>
              <w:i/>
              <w:color w:val="808080" w:themeColor="background1" w:themeShade="80"/>
              <w:sz w:val="12"/>
              <w:szCs w:val="12"/>
              <w:lang w:val="en-US" w:eastAsia="es-ES"/>
            </w:rPr>
            <w:t>Bruselako</w:t>
          </w:r>
          <w:proofErr w:type="spellEnd"/>
          <w:r>
            <w:rPr>
              <w:b/>
              <w:i/>
              <w:color w:val="808080" w:themeColor="background1" w:themeShade="80"/>
              <w:sz w:val="12"/>
              <w:szCs w:val="12"/>
              <w:lang w:val="en-US" w:eastAsia="es-ES"/>
            </w:rPr>
            <w:t xml:space="preserve"> </w:t>
          </w:r>
          <w:proofErr w:type="spellStart"/>
          <w:r>
            <w:rPr>
              <w:b/>
              <w:i/>
              <w:color w:val="808080" w:themeColor="background1" w:themeShade="80"/>
              <w:sz w:val="12"/>
              <w:szCs w:val="12"/>
              <w:lang w:val="en-US" w:eastAsia="es-ES"/>
            </w:rPr>
            <w:t>Delegazioa</w:t>
          </w:r>
          <w:proofErr w:type="spellEnd"/>
        </w:p>
        <w:p w:rsidR="007A0500" w:rsidRDefault="007A0500" w:rsidP="007A0500">
          <w:pPr>
            <w:pStyle w:val="Piedepgina"/>
            <w:jc w:val="center"/>
            <w:rPr>
              <w:b/>
              <w:i/>
              <w:color w:val="808080" w:themeColor="background1" w:themeShade="80"/>
              <w:sz w:val="12"/>
              <w:szCs w:val="12"/>
              <w:lang w:val="en-US" w:eastAsia="es-ES"/>
            </w:rPr>
          </w:pPr>
          <w:r>
            <w:rPr>
              <w:b/>
              <w:i/>
              <w:color w:val="808080" w:themeColor="background1" w:themeShade="80"/>
              <w:sz w:val="12"/>
              <w:szCs w:val="12"/>
              <w:lang w:val="en-US" w:eastAsia="es-ES"/>
            </w:rPr>
            <w:t>Delegation in Brussels</w:t>
          </w:r>
        </w:p>
      </w:tc>
      <w:tc>
        <w:tcPr>
          <w:tcW w:w="2881" w:type="dxa"/>
          <w:hideMark/>
        </w:tcPr>
        <w:p w:rsidR="007A0500" w:rsidRDefault="007A0500" w:rsidP="007A0500">
          <w:pPr>
            <w:pStyle w:val="Piedepgina"/>
            <w:jc w:val="center"/>
            <w:rPr>
              <w:b/>
              <w:i/>
              <w:sz w:val="18"/>
              <w:szCs w:val="18"/>
              <w:lang w:eastAsia="es-ES"/>
            </w:rPr>
          </w:pPr>
          <w:r>
            <w:rPr>
              <w:b/>
              <w:i/>
              <w:noProof/>
              <w:sz w:val="18"/>
              <w:szCs w:val="18"/>
              <w:lang w:eastAsia="es-ES"/>
            </w:rPr>
            <w:drawing>
              <wp:inline distT="0" distB="0" distL="0" distR="0" wp14:anchorId="20FE1BF8" wp14:editId="4F83B3FD">
                <wp:extent cx="952500" cy="257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p>
      </w:tc>
      <w:tc>
        <w:tcPr>
          <w:tcW w:w="2882" w:type="dxa"/>
          <w:vAlign w:val="bottom"/>
          <w:hideMark/>
        </w:tcPr>
        <w:p w:rsidR="007A0500" w:rsidRDefault="007A0500" w:rsidP="007A0500">
          <w:pPr>
            <w:pStyle w:val="Piedepgina"/>
            <w:ind w:left="708"/>
            <w:jc w:val="center"/>
            <w:rPr>
              <w:b/>
              <w:i/>
              <w:color w:val="808080" w:themeColor="background1" w:themeShade="80"/>
              <w:sz w:val="12"/>
              <w:szCs w:val="12"/>
              <w:lang w:val="fr-BE" w:eastAsia="es-ES"/>
            </w:rPr>
          </w:pPr>
          <w:r>
            <w:rPr>
              <w:b/>
              <w:i/>
              <w:color w:val="808080" w:themeColor="background1" w:themeShade="80"/>
              <w:sz w:val="12"/>
              <w:szCs w:val="12"/>
              <w:lang w:val="fr-BE" w:eastAsia="es-ES"/>
            </w:rPr>
            <w:t>Délégation à Bruxelles</w:t>
          </w:r>
        </w:p>
        <w:p w:rsidR="007A0500" w:rsidRDefault="007A0500" w:rsidP="007A0500">
          <w:pPr>
            <w:pStyle w:val="Piedepgina"/>
            <w:ind w:left="708"/>
            <w:jc w:val="center"/>
            <w:rPr>
              <w:b/>
              <w:i/>
              <w:sz w:val="18"/>
              <w:szCs w:val="18"/>
              <w:lang w:val="fr-BE" w:eastAsia="es-ES"/>
            </w:rPr>
          </w:pPr>
          <w:proofErr w:type="spellStart"/>
          <w:r>
            <w:rPr>
              <w:b/>
              <w:i/>
              <w:color w:val="808080" w:themeColor="background1" w:themeShade="80"/>
              <w:sz w:val="12"/>
              <w:szCs w:val="12"/>
              <w:lang w:val="fr-BE" w:eastAsia="es-ES"/>
            </w:rPr>
            <w:t>Delegación</w:t>
          </w:r>
          <w:proofErr w:type="spellEnd"/>
          <w:r>
            <w:rPr>
              <w:b/>
              <w:i/>
              <w:color w:val="808080" w:themeColor="background1" w:themeShade="80"/>
              <w:sz w:val="12"/>
              <w:szCs w:val="12"/>
              <w:lang w:val="fr-BE" w:eastAsia="es-ES"/>
            </w:rPr>
            <w:t xml:space="preserve"> en </w:t>
          </w:r>
          <w:proofErr w:type="spellStart"/>
          <w:r>
            <w:rPr>
              <w:b/>
              <w:i/>
              <w:color w:val="808080" w:themeColor="background1" w:themeShade="80"/>
              <w:sz w:val="12"/>
              <w:szCs w:val="12"/>
              <w:lang w:val="fr-BE" w:eastAsia="es-ES"/>
            </w:rPr>
            <w:t>Bruselas</w:t>
          </w:r>
          <w:proofErr w:type="spellEnd"/>
        </w:p>
      </w:tc>
    </w:tr>
  </w:tbl>
  <w:p w:rsidR="007A0500" w:rsidRPr="007A0500" w:rsidRDefault="007A0500">
    <w:pPr>
      <w:pStyle w:val="Piedepgina"/>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EB4" w:rsidRDefault="00995EB4" w:rsidP="00EA6313">
      <w:pPr>
        <w:spacing w:after="0" w:line="240" w:lineRule="auto"/>
      </w:pPr>
      <w:r>
        <w:separator/>
      </w:r>
    </w:p>
  </w:footnote>
  <w:footnote w:type="continuationSeparator" w:id="0">
    <w:p w:rsidR="00995EB4" w:rsidRDefault="00995EB4" w:rsidP="00EA6313">
      <w:pPr>
        <w:spacing w:after="0" w:line="240" w:lineRule="auto"/>
      </w:pPr>
      <w:r>
        <w:continuationSeparator/>
      </w:r>
    </w:p>
  </w:footnote>
  <w:footnote w:id="1">
    <w:p w:rsidR="00BB2242" w:rsidRPr="00736ADA" w:rsidRDefault="00BB2242">
      <w:pPr>
        <w:pStyle w:val="Textonotapie"/>
        <w:rPr>
          <w:rFonts w:ascii="Times New Roman" w:hAnsi="Times New Roman" w:cs="Times New Roman"/>
          <w:lang w:val="es-ES_tradnl"/>
        </w:rPr>
      </w:pPr>
      <w:bookmarkStart w:id="0" w:name="_GoBack"/>
      <w:r w:rsidRPr="00736ADA">
        <w:rPr>
          <w:rStyle w:val="Refdenotaalpie"/>
          <w:rFonts w:ascii="Times New Roman" w:hAnsi="Times New Roman" w:cs="Times New Roman"/>
        </w:rPr>
        <w:footnoteRef/>
      </w:r>
      <w:r w:rsidRPr="00736ADA">
        <w:rPr>
          <w:rFonts w:ascii="Times New Roman" w:hAnsi="Times New Roman" w:cs="Times New Roman"/>
        </w:rPr>
        <w:t xml:space="preserve"> </w:t>
      </w:r>
      <w:r w:rsidRPr="00736ADA">
        <w:rPr>
          <w:rFonts w:ascii="Times New Roman" w:hAnsi="Times New Roman" w:cs="Times New Roman"/>
          <w:lang w:val="es-ES_tradnl"/>
        </w:rPr>
        <w:t xml:space="preserve">Traducido de </w:t>
      </w:r>
      <w:hyperlink r:id="rId1" w:history="1">
        <w:r w:rsidRPr="00736ADA">
          <w:rPr>
            <w:rStyle w:val="Hipervnculo"/>
            <w:rFonts w:ascii="Times New Roman" w:hAnsi="Times New Roman" w:cs="Times New Roman"/>
            <w:lang w:val="es-ES_tradnl"/>
          </w:rPr>
          <w:t>http://europa.eu/rapid/press-release_MEMO-17-3271_en.htm</w:t>
        </w:r>
      </w:hyperlink>
      <w:r w:rsidRPr="00736ADA">
        <w:rPr>
          <w:rFonts w:ascii="Times New Roman" w:hAnsi="Times New Roman" w:cs="Times New Roman"/>
          <w:lang w:val="es-ES_tradnl"/>
        </w:rPr>
        <w:t xml:space="preserve"> . Ver también</w:t>
      </w:r>
      <w:r w:rsidR="00736ADA" w:rsidRPr="00736ADA">
        <w:rPr>
          <w:rFonts w:ascii="Times New Roman" w:hAnsi="Times New Roman" w:cs="Times New Roman"/>
          <w:lang w:val="es-ES_tradnl"/>
        </w:rPr>
        <w:t xml:space="preserve"> </w:t>
      </w:r>
      <w:hyperlink r:id="rId2" w:history="1">
        <w:r w:rsidR="00736ADA" w:rsidRPr="00736ADA">
          <w:rPr>
            <w:rStyle w:val="Hipervnculo"/>
            <w:rFonts w:ascii="Times New Roman" w:hAnsi="Times New Roman" w:cs="Times New Roman"/>
            <w:lang w:val="es-ES_tradnl"/>
          </w:rPr>
          <w:t>http://ec.europa.eu/regional_policy/es/policy/cooperation/european-territorial/#1</w:t>
        </w:r>
      </w:hyperlink>
      <w:r w:rsidR="00736ADA" w:rsidRPr="00736ADA">
        <w:rPr>
          <w:rFonts w:ascii="Times New Roman" w:hAnsi="Times New Roman" w:cs="Times New Roman"/>
          <w:lang w:val="es-ES_tradnl"/>
        </w:rPr>
        <w:t xml:space="preserve"> </w:t>
      </w:r>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00" w:rsidRDefault="007A0500" w:rsidP="007A0500">
    <w:pPr>
      <w:pStyle w:val="Encabezado"/>
      <w:jc w:val="right"/>
    </w:pPr>
    <w:r>
      <w:rPr>
        <w:noProof/>
        <w:lang w:eastAsia="es-ES"/>
      </w:rPr>
      <w:drawing>
        <wp:inline distT="0" distB="0" distL="0" distR="0" wp14:anchorId="72AA312E" wp14:editId="062DAACD">
          <wp:extent cx="504825" cy="504825"/>
          <wp:effectExtent l="0" t="0" r="9525" b="9525"/>
          <wp:docPr id="1" name="Imagen 1" descr="delgacion de bruselas navarra bilaketarekin bat datozen irudi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lgacion de bruselas navarra bilaketarekin bat datozen irudi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rsidR="00EA6313" w:rsidRDefault="00EA63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55C3D"/>
    <w:multiLevelType w:val="hybridMultilevel"/>
    <w:tmpl w:val="C1D0C3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BB09E3"/>
    <w:multiLevelType w:val="multilevel"/>
    <w:tmpl w:val="E782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A20B5"/>
    <w:multiLevelType w:val="multilevel"/>
    <w:tmpl w:val="138A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0D2224"/>
    <w:multiLevelType w:val="multilevel"/>
    <w:tmpl w:val="CF4A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7A521F"/>
    <w:multiLevelType w:val="multilevel"/>
    <w:tmpl w:val="7B12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BF3093"/>
    <w:multiLevelType w:val="hybridMultilevel"/>
    <w:tmpl w:val="5BE012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89662AA"/>
    <w:multiLevelType w:val="hybridMultilevel"/>
    <w:tmpl w:val="A114282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313"/>
    <w:rsid w:val="000A25E4"/>
    <w:rsid w:val="002A5CD4"/>
    <w:rsid w:val="00377830"/>
    <w:rsid w:val="003A4B4E"/>
    <w:rsid w:val="003F55CB"/>
    <w:rsid w:val="004C1A20"/>
    <w:rsid w:val="004F4F74"/>
    <w:rsid w:val="00581C45"/>
    <w:rsid w:val="00650241"/>
    <w:rsid w:val="00736ADA"/>
    <w:rsid w:val="00774535"/>
    <w:rsid w:val="007A0500"/>
    <w:rsid w:val="007D5B9A"/>
    <w:rsid w:val="00841220"/>
    <w:rsid w:val="00851426"/>
    <w:rsid w:val="00995EB4"/>
    <w:rsid w:val="00AB5F70"/>
    <w:rsid w:val="00BB2242"/>
    <w:rsid w:val="00E9370A"/>
    <w:rsid w:val="00E96B33"/>
    <w:rsid w:val="00EA6313"/>
    <w:rsid w:val="00EF4C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A05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63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6313"/>
  </w:style>
  <w:style w:type="paragraph" w:styleId="Piedepgina">
    <w:name w:val="footer"/>
    <w:basedOn w:val="Normal"/>
    <w:link w:val="PiedepginaCar"/>
    <w:uiPriority w:val="99"/>
    <w:unhideWhenUsed/>
    <w:rsid w:val="00EA63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6313"/>
  </w:style>
  <w:style w:type="paragraph" w:styleId="Textonotapie">
    <w:name w:val="footnote text"/>
    <w:basedOn w:val="Normal"/>
    <w:link w:val="TextonotapieCar"/>
    <w:uiPriority w:val="99"/>
    <w:semiHidden/>
    <w:unhideWhenUsed/>
    <w:rsid w:val="004C1A2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1A20"/>
    <w:rPr>
      <w:sz w:val="20"/>
      <w:szCs w:val="20"/>
    </w:rPr>
  </w:style>
  <w:style w:type="character" w:styleId="Refdenotaalpie">
    <w:name w:val="footnote reference"/>
    <w:basedOn w:val="Fuentedeprrafopredeter"/>
    <w:uiPriority w:val="99"/>
    <w:semiHidden/>
    <w:unhideWhenUsed/>
    <w:rsid w:val="004C1A20"/>
    <w:rPr>
      <w:vertAlign w:val="superscript"/>
    </w:rPr>
  </w:style>
  <w:style w:type="character" w:styleId="Hipervnculo">
    <w:name w:val="Hyperlink"/>
    <w:basedOn w:val="Fuentedeprrafopredeter"/>
    <w:uiPriority w:val="99"/>
    <w:unhideWhenUsed/>
    <w:rsid w:val="004C1A20"/>
    <w:rPr>
      <w:color w:val="0563C1" w:themeColor="hyperlink"/>
      <w:u w:val="single"/>
    </w:rPr>
  </w:style>
  <w:style w:type="character" w:customStyle="1" w:styleId="UnresolvedMention">
    <w:name w:val="Unresolved Mention"/>
    <w:basedOn w:val="Fuentedeprrafopredeter"/>
    <w:uiPriority w:val="99"/>
    <w:semiHidden/>
    <w:unhideWhenUsed/>
    <w:rsid w:val="004C1A20"/>
    <w:rPr>
      <w:color w:val="808080"/>
      <w:shd w:val="clear" w:color="auto" w:fill="E6E6E6"/>
    </w:rPr>
  </w:style>
  <w:style w:type="paragraph" w:styleId="Prrafodelista">
    <w:name w:val="List Paragraph"/>
    <w:basedOn w:val="Normal"/>
    <w:uiPriority w:val="34"/>
    <w:qFormat/>
    <w:rsid w:val="00851426"/>
    <w:pPr>
      <w:ind w:left="720"/>
      <w:contextualSpacing/>
    </w:pPr>
  </w:style>
  <w:style w:type="table" w:styleId="Tablaconcuadrcula">
    <w:name w:val="Table Grid"/>
    <w:basedOn w:val="Tablanormal"/>
    <w:uiPriority w:val="39"/>
    <w:rsid w:val="007A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qFormat/>
    <w:rsid w:val="007A0500"/>
    <w:pPr>
      <w:tabs>
        <w:tab w:val="right" w:leader="dot" w:pos="8497"/>
      </w:tabs>
      <w:spacing w:before="120" w:after="120" w:line="240" w:lineRule="auto"/>
      <w:jc w:val="both"/>
    </w:pPr>
    <w:rPr>
      <w:rFonts w:ascii="Calibri" w:eastAsia="Times New Roman" w:hAnsi="Calibri" w:cs="Times New Roman"/>
      <w:b/>
      <w:bCs/>
      <w:caps/>
      <w:noProof/>
      <w:sz w:val="20"/>
      <w:szCs w:val="24"/>
      <w:lang w:val="eu-ES" w:eastAsia="eu-ES"/>
    </w:rPr>
  </w:style>
  <w:style w:type="character" w:customStyle="1" w:styleId="Ttulo1Car">
    <w:name w:val="Título 1 Car"/>
    <w:basedOn w:val="Fuentedeprrafopredeter"/>
    <w:link w:val="Ttulo1"/>
    <w:uiPriority w:val="9"/>
    <w:rsid w:val="007A0500"/>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semiHidden/>
    <w:unhideWhenUsed/>
    <w:qFormat/>
    <w:rsid w:val="007A0500"/>
    <w:pPr>
      <w:spacing w:before="480" w:line="276" w:lineRule="auto"/>
      <w:jc w:val="both"/>
      <w:outlineLvl w:val="9"/>
    </w:pPr>
    <w:rPr>
      <w:rFonts w:ascii="Cambria" w:eastAsia="Times New Roman" w:hAnsi="Cambria" w:cs="Times New Roman"/>
      <w:b/>
      <w:bCs/>
      <w:color w:val="365F91"/>
      <w:sz w:val="28"/>
      <w:szCs w:val="28"/>
      <w:lang w:val="eu-ES"/>
    </w:rPr>
  </w:style>
  <w:style w:type="paragraph" w:styleId="Textodeglobo">
    <w:name w:val="Balloon Text"/>
    <w:basedOn w:val="Normal"/>
    <w:link w:val="TextodegloboCar"/>
    <w:uiPriority w:val="99"/>
    <w:semiHidden/>
    <w:unhideWhenUsed/>
    <w:rsid w:val="000A25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25E4"/>
    <w:rPr>
      <w:rFonts w:ascii="Tahoma" w:hAnsi="Tahoma" w:cs="Tahoma"/>
      <w:sz w:val="16"/>
      <w:szCs w:val="16"/>
    </w:rPr>
  </w:style>
  <w:style w:type="paragraph" w:customStyle="1" w:styleId="date">
    <w:name w:val="date"/>
    <w:basedOn w:val="Normal"/>
    <w:rsid w:val="00E9370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E9370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937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A05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63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6313"/>
  </w:style>
  <w:style w:type="paragraph" w:styleId="Piedepgina">
    <w:name w:val="footer"/>
    <w:basedOn w:val="Normal"/>
    <w:link w:val="PiedepginaCar"/>
    <w:uiPriority w:val="99"/>
    <w:unhideWhenUsed/>
    <w:rsid w:val="00EA63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6313"/>
  </w:style>
  <w:style w:type="paragraph" w:styleId="Textonotapie">
    <w:name w:val="footnote text"/>
    <w:basedOn w:val="Normal"/>
    <w:link w:val="TextonotapieCar"/>
    <w:uiPriority w:val="99"/>
    <w:semiHidden/>
    <w:unhideWhenUsed/>
    <w:rsid w:val="004C1A2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1A20"/>
    <w:rPr>
      <w:sz w:val="20"/>
      <w:szCs w:val="20"/>
    </w:rPr>
  </w:style>
  <w:style w:type="character" w:styleId="Refdenotaalpie">
    <w:name w:val="footnote reference"/>
    <w:basedOn w:val="Fuentedeprrafopredeter"/>
    <w:uiPriority w:val="99"/>
    <w:semiHidden/>
    <w:unhideWhenUsed/>
    <w:rsid w:val="004C1A20"/>
    <w:rPr>
      <w:vertAlign w:val="superscript"/>
    </w:rPr>
  </w:style>
  <w:style w:type="character" w:styleId="Hipervnculo">
    <w:name w:val="Hyperlink"/>
    <w:basedOn w:val="Fuentedeprrafopredeter"/>
    <w:uiPriority w:val="99"/>
    <w:unhideWhenUsed/>
    <w:rsid w:val="004C1A20"/>
    <w:rPr>
      <w:color w:val="0563C1" w:themeColor="hyperlink"/>
      <w:u w:val="single"/>
    </w:rPr>
  </w:style>
  <w:style w:type="character" w:customStyle="1" w:styleId="UnresolvedMention">
    <w:name w:val="Unresolved Mention"/>
    <w:basedOn w:val="Fuentedeprrafopredeter"/>
    <w:uiPriority w:val="99"/>
    <w:semiHidden/>
    <w:unhideWhenUsed/>
    <w:rsid w:val="004C1A20"/>
    <w:rPr>
      <w:color w:val="808080"/>
      <w:shd w:val="clear" w:color="auto" w:fill="E6E6E6"/>
    </w:rPr>
  </w:style>
  <w:style w:type="paragraph" w:styleId="Prrafodelista">
    <w:name w:val="List Paragraph"/>
    <w:basedOn w:val="Normal"/>
    <w:uiPriority w:val="34"/>
    <w:qFormat/>
    <w:rsid w:val="00851426"/>
    <w:pPr>
      <w:ind w:left="720"/>
      <w:contextualSpacing/>
    </w:pPr>
  </w:style>
  <w:style w:type="table" w:styleId="Tablaconcuadrcula">
    <w:name w:val="Table Grid"/>
    <w:basedOn w:val="Tablanormal"/>
    <w:uiPriority w:val="39"/>
    <w:rsid w:val="007A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qFormat/>
    <w:rsid w:val="007A0500"/>
    <w:pPr>
      <w:tabs>
        <w:tab w:val="right" w:leader="dot" w:pos="8497"/>
      </w:tabs>
      <w:spacing w:before="120" w:after="120" w:line="240" w:lineRule="auto"/>
      <w:jc w:val="both"/>
    </w:pPr>
    <w:rPr>
      <w:rFonts w:ascii="Calibri" w:eastAsia="Times New Roman" w:hAnsi="Calibri" w:cs="Times New Roman"/>
      <w:b/>
      <w:bCs/>
      <w:caps/>
      <w:noProof/>
      <w:sz w:val="20"/>
      <w:szCs w:val="24"/>
      <w:lang w:val="eu-ES" w:eastAsia="eu-ES"/>
    </w:rPr>
  </w:style>
  <w:style w:type="character" w:customStyle="1" w:styleId="Ttulo1Car">
    <w:name w:val="Título 1 Car"/>
    <w:basedOn w:val="Fuentedeprrafopredeter"/>
    <w:link w:val="Ttulo1"/>
    <w:uiPriority w:val="9"/>
    <w:rsid w:val="007A0500"/>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semiHidden/>
    <w:unhideWhenUsed/>
    <w:qFormat/>
    <w:rsid w:val="007A0500"/>
    <w:pPr>
      <w:spacing w:before="480" w:line="276" w:lineRule="auto"/>
      <w:jc w:val="both"/>
      <w:outlineLvl w:val="9"/>
    </w:pPr>
    <w:rPr>
      <w:rFonts w:ascii="Cambria" w:eastAsia="Times New Roman" w:hAnsi="Cambria" w:cs="Times New Roman"/>
      <w:b/>
      <w:bCs/>
      <w:color w:val="365F91"/>
      <w:sz w:val="28"/>
      <w:szCs w:val="28"/>
      <w:lang w:val="eu-ES"/>
    </w:rPr>
  </w:style>
  <w:style w:type="paragraph" w:styleId="Textodeglobo">
    <w:name w:val="Balloon Text"/>
    <w:basedOn w:val="Normal"/>
    <w:link w:val="TextodegloboCar"/>
    <w:uiPriority w:val="99"/>
    <w:semiHidden/>
    <w:unhideWhenUsed/>
    <w:rsid w:val="000A25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25E4"/>
    <w:rPr>
      <w:rFonts w:ascii="Tahoma" w:hAnsi="Tahoma" w:cs="Tahoma"/>
      <w:sz w:val="16"/>
      <w:szCs w:val="16"/>
    </w:rPr>
  </w:style>
  <w:style w:type="paragraph" w:customStyle="1" w:styleId="date">
    <w:name w:val="date"/>
    <w:basedOn w:val="Normal"/>
    <w:rsid w:val="00E9370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E9370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93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660">
      <w:bodyDiv w:val="1"/>
      <w:marLeft w:val="0"/>
      <w:marRight w:val="0"/>
      <w:marTop w:val="0"/>
      <w:marBottom w:val="0"/>
      <w:divBdr>
        <w:top w:val="none" w:sz="0" w:space="0" w:color="auto"/>
        <w:left w:val="none" w:sz="0" w:space="0" w:color="auto"/>
        <w:bottom w:val="none" w:sz="0" w:space="0" w:color="auto"/>
        <w:right w:val="none" w:sz="0" w:space="0" w:color="auto"/>
      </w:divBdr>
    </w:div>
    <w:div w:id="97336926">
      <w:bodyDiv w:val="1"/>
      <w:marLeft w:val="0"/>
      <w:marRight w:val="0"/>
      <w:marTop w:val="0"/>
      <w:marBottom w:val="0"/>
      <w:divBdr>
        <w:top w:val="none" w:sz="0" w:space="0" w:color="auto"/>
        <w:left w:val="none" w:sz="0" w:space="0" w:color="auto"/>
        <w:bottom w:val="none" w:sz="0" w:space="0" w:color="auto"/>
        <w:right w:val="none" w:sz="0" w:space="0" w:color="auto"/>
      </w:divBdr>
    </w:div>
    <w:div w:id="416946128">
      <w:bodyDiv w:val="1"/>
      <w:marLeft w:val="0"/>
      <w:marRight w:val="0"/>
      <w:marTop w:val="0"/>
      <w:marBottom w:val="0"/>
      <w:divBdr>
        <w:top w:val="none" w:sz="0" w:space="0" w:color="auto"/>
        <w:left w:val="none" w:sz="0" w:space="0" w:color="auto"/>
        <w:bottom w:val="none" w:sz="0" w:space="0" w:color="auto"/>
        <w:right w:val="none" w:sz="0" w:space="0" w:color="auto"/>
      </w:divBdr>
    </w:div>
    <w:div w:id="1522431995">
      <w:bodyDiv w:val="1"/>
      <w:marLeft w:val="0"/>
      <w:marRight w:val="0"/>
      <w:marTop w:val="0"/>
      <w:marBottom w:val="0"/>
      <w:divBdr>
        <w:top w:val="none" w:sz="0" w:space="0" w:color="auto"/>
        <w:left w:val="none" w:sz="0" w:space="0" w:color="auto"/>
        <w:bottom w:val="none" w:sz="0" w:space="0" w:color="auto"/>
        <w:right w:val="none" w:sz="0" w:space="0" w:color="auto"/>
      </w:divBdr>
      <w:divsChild>
        <w:div w:id="116269514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futurium/en/" TargetMode="External"/><Relationship Id="rId18" Type="http://schemas.openxmlformats.org/officeDocument/2006/relationships/hyperlink" Target="http://ec.europa.eu/solvit/what-is-solvit/index_en.htm" TargetMode="External"/><Relationship Id="rId3" Type="http://schemas.openxmlformats.org/officeDocument/2006/relationships/styles" Target="styles.xml"/><Relationship Id="rId21" Type="http://schemas.openxmlformats.org/officeDocument/2006/relationships/hyperlink" Target="https://cohesiondata.ec.europa.eu/funds/erdf" TargetMode="External"/><Relationship Id="rId7" Type="http://schemas.openxmlformats.org/officeDocument/2006/relationships/footnotes" Target="footnotes.xml"/><Relationship Id="rId12" Type="http://schemas.openxmlformats.org/officeDocument/2006/relationships/hyperlink" Target="https://ec.europa.eu/futurium/en/" TargetMode="External"/><Relationship Id="rId17" Type="http://schemas.openxmlformats.org/officeDocument/2006/relationships/hyperlink" Target="http://europa.eu/rapid/press-release_IP-17-1086_en.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commission/priorities/jobs-growth-and-investment/investment-plan_en" TargetMode="External"/><Relationship Id="rId20" Type="http://schemas.openxmlformats.org/officeDocument/2006/relationships/hyperlink" Target="http://www.espaces-transfrontaliers.org/en/resources/topics-of-cooperation/healthcare/healthcare-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opa.eu/rapid/press-release_IP-17-1795_en.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c.europa.eu/commission/state-union-2017_en" TargetMode="External"/><Relationship Id="rId23" Type="http://schemas.openxmlformats.org/officeDocument/2006/relationships/footer" Target="footer1.xml"/><Relationship Id="rId10" Type="http://schemas.openxmlformats.org/officeDocument/2006/relationships/hyperlink" Target="http://ec.europa.eu/regional_policy/fr/policy/cooperation/european-territorial/cross-border/review/" TargetMode="External"/><Relationship Id="rId19" Type="http://schemas.openxmlformats.org/officeDocument/2006/relationships/hyperlink" Target="http://europa.eu/rapid/press-release_IP-17-23_en.htm" TargetMode="External"/><Relationship Id="rId4" Type="http://schemas.microsoft.com/office/2007/relationships/stylesWithEffects" Target="stylesWithEffects.xml"/><Relationship Id="rId9" Type="http://schemas.openxmlformats.org/officeDocument/2006/relationships/hyperlink" Target="http://ec.europa.eu/regional_policy/sources/docoffic/2014/boosting_growth/com_boosting_borders.pdf" TargetMode="External"/><Relationship Id="rId14" Type="http://schemas.openxmlformats.org/officeDocument/2006/relationships/hyperlink" Target="https://ec.europa.eu/commission/sites/beta-political/files/european-labour-authority-factsheet_en.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ec.europa.eu/regional_policy/es/policy/cooperation/european-territorial/#1" TargetMode="External"/><Relationship Id="rId1" Type="http://schemas.openxmlformats.org/officeDocument/2006/relationships/hyperlink" Target="http://europa.eu/rapid/press-release_MEMO-17-3271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320C-7C10-4660-BC2D-BF669013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1903</Words>
  <Characters>10468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 Irujo</dc:creator>
  <cp:lastModifiedBy>Irujo Amezaga, Mikel (Delegado del GN en Bruselas)</cp:lastModifiedBy>
  <cp:revision>4</cp:revision>
  <dcterms:created xsi:type="dcterms:W3CDTF">2017-09-30T10:27:00Z</dcterms:created>
  <dcterms:modified xsi:type="dcterms:W3CDTF">2017-09-30T10:46:00Z</dcterms:modified>
</cp:coreProperties>
</file>