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DD7" w:rsidRPr="00CA19F6" w:rsidRDefault="00C16097" w:rsidP="00C166D8">
      <w:pPr>
        <w:spacing w:after="0" w:line="240" w:lineRule="auto"/>
        <w:jc w:val="both"/>
      </w:pPr>
    </w:p>
    <w:tbl>
      <w:tblPr>
        <w:tblStyle w:val="Tablaconcuadrcula"/>
        <w:tblW w:w="0" w:type="auto"/>
        <w:tblLook w:val="04A0" w:firstRow="1" w:lastRow="0" w:firstColumn="1" w:lastColumn="0" w:noHBand="0" w:noVBand="1"/>
      </w:tblPr>
      <w:tblGrid>
        <w:gridCol w:w="8494"/>
      </w:tblGrid>
      <w:tr w:rsidR="00EC3F6A" w:rsidRPr="00CA19F6" w:rsidTr="00C166D8">
        <w:tc>
          <w:tcPr>
            <w:tcW w:w="8494" w:type="dxa"/>
          </w:tcPr>
          <w:p w:rsidR="00EC3F6A" w:rsidRPr="00487035" w:rsidRDefault="00C166D8" w:rsidP="00C166D8">
            <w:pPr>
              <w:jc w:val="center"/>
              <w:rPr>
                <w:rFonts w:cs="Tahoma"/>
                <w:b/>
                <w:color w:val="0070C0"/>
                <w:sz w:val="40"/>
                <w:szCs w:val="40"/>
              </w:rPr>
            </w:pPr>
            <w:r w:rsidRPr="00487035">
              <w:rPr>
                <w:rFonts w:cs="Tahoma"/>
                <w:b/>
                <w:color w:val="0070C0"/>
                <w:sz w:val="40"/>
                <w:szCs w:val="40"/>
              </w:rPr>
              <w:t>Asuntos Sociales UE</w:t>
            </w:r>
          </w:p>
          <w:p w:rsidR="00D87066" w:rsidRPr="00C166D8" w:rsidRDefault="00D87066" w:rsidP="00C166D8">
            <w:pPr>
              <w:jc w:val="center"/>
              <w:rPr>
                <w:sz w:val="32"/>
                <w:szCs w:val="32"/>
              </w:rPr>
            </w:pPr>
            <w:r w:rsidRPr="00C166D8">
              <w:rPr>
                <w:rFonts w:cs="Tahoma"/>
                <w:color w:val="0070C0"/>
                <w:sz w:val="32"/>
                <w:szCs w:val="32"/>
              </w:rPr>
              <w:t>Ficha resumen</w:t>
            </w:r>
          </w:p>
        </w:tc>
      </w:tr>
    </w:tbl>
    <w:p w:rsidR="00373BFE" w:rsidRPr="000F0090" w:rsidRDefault="00373BFE" w:rsidP="00373BFE">
      <w:pPr>
        <w:spacing w:after="0" w:line="240" w:lineRule="auto"/>
        <w:rPr>
          <w:b/>
          <w:sz w:val="28"/>
          <w:szCs w:val="28"/>
        </w:rPr>
      </w:pPr>
    </w:p>
    <w:p w:rsidR="00373BFE" w:rsidRPr="000F0090" w:rsidRDefault="00373BFE" w:rsidP="00373BFE">
      <w:pPr>
        <w:pStyle w:val="TtuloTDC"/>
        <w:spacing w:before="0" w:line="240" w:lineRule="auto"/>
        <w:rPr>
          <w:lang w:val="es-ES"/>
        </w:rPr>
      </w:pPr>
      <w:r w:rsidRPr="000F0090">
        <w:rPr>
          <w:lang w:val="es-ES"/>
        </w:rPr>
        <w:t>Contenido</w:t>
      </w:r>
      <w:bookmarkStart w:id="0" w:name="_GoBack"/>
      <w:bookmarkEnd w:id="0"/>
    </w:p>
    <w:p w:rsidR="00373BFE" w:rsidRPr="000F0090" w:rsidRDefault="00373BFE" w:rsidP="00373BFE">
      <w:pPr>
        <w:pStyle w:val="TDC1"/>
        <w:spacing w:before="0" w:after="0"/>
        <w:rPr>
          <w:rFonts w:ascii="Times New Roman" w:hAnsi="Times New Roman"/>
          <w:szCs w:val="20"/>
          <w:lang w:val="es-ES" w:eastAsia="es-ES"/>
        </w:rPr>
      </w:pPr>
    </w:p>
    <w:p w:rsidR="00373BFE" w:rsidRDefault="00373BFE">
      <w:pPr>
        <w:pStyle w:val="TDC1"/>
        <w:rPr>
          <w:rFonts w:asciiTheme="minorHAnsi" w:eastAsiaTheme="minorEastAsia" w:hAnsiTheme="minorHAnsi" w:cstheme="minorBidi"/>
          <w:b w:val="0"/>
          <w:bCs w:val="0"/>
          <w:caps w:val="0"/>
          <w:sz w:val="22"/>
          <w:szCs w:val="22"/>
          <w:lang w:val="es-ES" w:eastAsia="es-ES"/>
        </w:rPr>
      </w:pPr>
      <w:r w:rsidRPr="000F0090">
        <w:rPr>
          <w:rFonts w:ascii="Times New Roman" w:hAnsi="Times New Roman"/>
          <w:szCs w:val="20"/>
          <w:lang w:val="es-ES" w:eastAsia="es-ES"/>
        </w:rPr>
        <w:fldChar w:fldCharType="begin"/>
      </w:r>
      <w:r w:rsidRPr="000F0090">
        <w:rPr>
          <w:rFonts w:ascii="Times New Roman" w:hAnsi="Times New Roman"/>
          <w:lang w:val="es-ES"/>
        </w:rPr>
        <w:instrText xml:space="preserve"> TOC \o "1-3" \h \z \u </w:instrText>
      </w:r>
      <w:r w:rsidRPr="000F0090">
        <w:rPr>
          <w:rFonts w:ascii="Times New Roman" w:hAnsi="Times New Roman"/>
          <w:szCs w:val="20"/>
          <w:lang w:val="es-ES" w:eastAsia="es-ES"/>
        </w:rPr>
        <w:fldChar w:fldCharType="separate"/>
      </w:r>
      <w:hyperlink w:anchor="_Toc461642061" w:history="1">
        <w:r w:rsidRPr="007F65FD">
          <w:rPr>
            <w:rStyle w:val="Hipervnculo"/>
            <w:lang w:val="es-ES_tradnl"/>
          </w:rPr>
          <w:t>Marco Legal</w:t>
        </w:r>
        <w:r>
          <w:rPr>
            <w:webHidden/>
          </w:rPr>
          <w:tab/>
        </w:r>
        <w:r>
          <w:rPr>
            <w:webHidden/>
          </w:rPr>
          <w:fldChar w:fldCharType="begin"/>
        </w:r>
        <w:r>
          <w:rPr>
            <w:webHidden/>
          </w:rPr>
          <w:instrText xml:space="preserve"> PAGEREF _Toc461642061 \h </w:instrText>
        </w:r>
        <w:r>
          <w:rPr>
            <w:webHidden/>
          </w:rPr>
        </w:r>
        <w:r>
          <w:rPr>
            <w:webHidden/>
          </w:rPr>
          <w:fldChar w:fldCharType="separate"/>
        </w:r>
        <w:r>
          <w:rPr>
            <w:webHidden/>
          </w:rPr>
          <w:t>1</w:t>
        </w:r>
        <w:r>
          <w:rPr>
            <w:webHidden/>
          </w:rPr>
          <w:fldChar w:fldCharType="end"/>
        </w:r>
      </w:hyperlink>
    </w:p>
    <w:p w:rsidR="00373BFE" w:rsidRDefault="00373BFE">
      <w:pPr>
        <w:pStyle w:val="TDC1"/>
        <w:rPr>
          <w:rFonts w:asciiTheme="minorHAnsi" w:eastAsiaTheme="minorEastAsia" w:hAnsiTheme="minorHAnsi" w:cstheme="minorBidi"/>
          <w:b w:val="0"/>
          <w:bCs w:val="0"/>
          <w:caps w:val="0"/>
          <w:sz w:val="22"/>
          <w:szCs w:val="22"/>
          <w:lang w:val="es-ES" w:eastAsia="es-ES"/>
        </w:rPr>
      </w:pPr>
      <w:hyperlink w:anchor="_Toc461642062" w:history="1">
        <w:r w:rsidRPr="007F65FD">
          <w:rPr>
            <w:rStyle w:val="Hipervnculo"/>
            <w:lang w:val="es-ES_tradnl"/>
          </w:rPr>
          <w:t>Marco de financiación</w:t>
        </w:r>
        <w:r>
          <w:rPr>
            <w:webHidden/>
          </w:rPr>
          <w:tab/>
        </w:r>
        <w:r>
          <w:rPr>
            <w:webHidden/>
          </w:rPr>
          <w:fldChar w:fldCharType="begin"/>
        </w:r>
        <w:r>
          <w:rPr>
            <w:webHidden/>
          </w:rPr>
          <w:instrText xml:space="preserve"> PAGEREF _Toc461642062 \h </w:instrText>
        </w:r>
        <w:r>
          <w:rPr>
            <w:webHidden/>
          </w:rPr>
        </w:r>
        <w:r>
          <w:rPr>
            <w:webHidden/>
          </w:rPr>
          <w:fldChar w:fldCharType="separate"/>
        </w:r>
        <w:r>
          <w:rPr>
            <w:webHidden/>
          </w:rPr>
          <w:t>2</w:t>
        </w:r>
        <w:r>
          <w:rPr>
            <w:webHidden/>
          </w:rPr>
          <w:fldChar w:fldCharType="end"/>
        </w:r>
      </w:hyperlink>
    </w:p>
    <w:p w:rsidR="00373BFE" w:rsidRDefault="00373BFE">
      <w:pPr>
        <w:pStyle w:val="TDC1"/>
        <w:rPr>
          <w:rFonts w:asciiTheme="minorHAnsi" w:eastAsiaTheme="minorEastAsia" w:hAnsiTheme="minorHAnsi" w:cstheme="minorBidi"/>
          <w:b w:val="0"/>
          <w:bCs w:val="0"/>
          <w:caps w:val="0"/>
          <w:sz w:val="22"/>
          <w:szCs w:val="22"/>
          <w:lang w:val="es-ES" w:eastAsia="es-ES"/>
        </w:rPr>
      </w:pPr>
      <w:hyperlink w:anchor="_Toc461642063" w:history="1">
        <w:r w:rsidRPr="007F65FD">
          <w:rPr>
            <w:rStyle w:val="Hipervnculo"/>
            <w:lang w:val="es-ES_tradnl"/>
          </w:rPr>
          <w:t>Posibles Acciones</w:t>
        </w:r>
        <w:r>
          <w:rPr>
            <w:webHidden/>
          </w:rPr>
          <w:tab/>
        </w:r>
        <w:r>
          <w:rPr>
            <w:webHidden/>
          </w:rPr>
          <w:fldChar w:fldCharType="begin"/>
        </w:r>
        <w:r>
          <w:rPr>
            <w:webHidden/>
          </w:rPr>
          <w:instrText xml:space="preserve"> PAGEREF _Toc461642063 \h </w:instrText>
        </w:r>
        <w:r>
          <w:rPr>
            <w:webHidden/>
          </w:rPr>
        </w:r>
        <w:r>
          <w:rPr>
            <w:webHidden/>
          </w:rPr>
          <w:fldChar w:fldCharType="separate"/>
        </w:r>
        <w:r>
          <w:rPr>
            <w:webHidden/>
          </w:rPr>
          <w:t>3</w:t>
        </w:r>
        <w:r>
          <w:rPr>
            <w:webHidden/>
          </w:rPr>
          <w:fldChar w:fldCharType="end"/>
        </w:r>
      </w:hyperlink>
    </w:p>
    <w:p w:rsidR="00373BFE" w:rsidRDefault="00373BFE">
      <w:pPr>
        <w:pStyle w:val="TDC2"/>
        <w:tabs>
          <w:tab w:val="right" w:leader="dot" w:pos="8494"/>
        </w:tabs>
        <w:rPr>
          <w:rFonts w:eastAsiaTheme="minorEastAsia"/>
          <w:noProof/>
          <w:sz w:val="22"/>
          <w:lang w:eastAsia="es-ES"/>
        </w:rPr>
      </w:pPr>
      <w:hyperlink w:anchor="_Toc461642064" w:history="1">
        <w:r w:rsidRPr="007F65FD">
          <w:rPr>
            <w:rStyle w:val="Hipervnculo"/>
            <w:noProof/>
            <w:lang w:val="es-ES_tradnl"/>
          </w:rPr>
          <w:t>Exploración de fuentes de información para tener un panorama suficiente</w:t>
        </w:r>
        <w:r>
          <w:rPr>
            <w:noProof/>
            <w:webHidden/>
          </w:rPr>
          <w:tab/>
        </w:r>
        <w:r>
          <w:rPr>
            <w:noProof/>
            <w:webHidden/>
          </w:rPr>
          <w:fldChar w:fldCharType="begin"/>
        </w:r>
        <w:r>
          <w:rPr>
            <w:noProof/>
            <w:webHidden/>
          </w:rPr>
          <w:instrText xml:space="preserve"> PAGEREF _Toc461642064 \h </w:instrText>
        </w:r>
        <w:r>
          <w:rPr>
            <w:noProof/>
            <w:webHidden/>
          </w:rPr>
        </w:r>
        <w:r>
          <w:rPr>
            <w:noProof/>
            <w:webHidden/>
          </w:rPr>
          <w:fldChar w:fldCharType="separate"/>
        </w:r>
        <w:r>
          <w:rPr>
            <w:noProof/>
            <w:webHidden/>
          </w:rPr>
          <w:t>3</w:t>
        </w:r>
        <w:r>
          <w:rPr>
            <w:noProof/>
            <w:webHidden/>
          </w:rPr>
          <w:fldChar w:fldCharType="end"/>
        </w:r>
      </w:hyperlink>
    </w:p>
    <w:p w:rsidR="00373BFE" w:rsidRDefault="00373BFE">
      <w:pPr>
        <w:pStyle w:val="TDC2"/>
        <w:tabs>
          <w:tab w:val="right" w:leader="dot" w:pos="8494"/>
        </w:tabs>
        <w:rPr>
          <w:rFonts w:eastAsiaTheme="minorEastAsia"/>
          <w:noProof/>
          <w:sz w:val="22"/>
          <w:lang w:eastAsia="es-ES"/>
        </w:rPr>
      </w:pPr>
      <w:hyperlink w:anchor="_Toc461642065" w:history="1">
        <w:r w:rsidRPr="007F65FD">
          <w:rPr>
            <w:rStyle w:val="Hipervnculo"/>
            <w:noProof/>
            <w:lang w:val="es-ES_tradnl"/>
          </w:rPr>
          <w:t>Exploración de las redes o asociaciones de ámbito europeo</w:t>
        </w:r>
        <w:r>
          <w:rPr>
            <w:noProof/>
            <w:webHidden/>
          </w:rPr>
          <w:tab/>
        </w:r>
        <w:r>
          <w:rPr>
            <w:noProof/>
            <w:webHidden/>
          </w:rPr>
          <w:fldChar w:fldCharType="begin"/>
        </w:r>
        <w:r>
          <w:rPr>
            <w:noProof/>
            <w:webHidden/>
          </w:rPr>
          <w:instrText xml:space="preserve"> PAGEREF _Toc461642065 \h </w:instrText>
        </w:r>
        <w:r>
          <w:rPr>
            <w:noProof/>
            <w:webHidden/>
          </w:rPr>
        </w:r>
        <w:r>
          <w:rPr>
            <w:noProof/>
            <w:webHidden/>
          </w:rPr>
          <w:fldChar w:fldCharType="separate"/>
        </w:r>
        <w:r>
          <w:rPr>
            <w:noProof/>
            <w:webHidden/>
          </w:rPr>
          <w:t>3</w:t>
        </w:r>
        <w:r>
          <w:rPr>
            <w:noProof/>
            <w:webHidden/>
          </w:rPr>
          <w:fldChar w:fldCharType="end"/>
        </w:r>
      </w:hyperlink>
    </w:p>
    <w:p w:rsidR="00373BFE" w:rsidRDefault="00373BFE">
      <w:pPr>
        <w:pStyle w:val="TDC2"/>
        <w:tabs>
          <w:tab w:val="right" w:leader="dot" w:pos="8494"/>
        </w:tabs>
        <w:rPr>
          <w:rFonts w:eastAsiaTheme="minorEastAsia"/>
          <w:noProof/>
          <w:sz w:val="22"/>
          <w:lang w:eastAsia="es-ES"/>
        </w:rPr>
      </w:pPr>
      <w:hyperlink w:anchor="_Toc461642066" w:history="1">
        <w:r w:rsidRPr="007F65FD">
          <w:rPr>
            <w:rStyle w:val="Hipervnculo"/>
            <w:noProof/>
            <w:lang w:val="es-ES_tradnl"/>
          </w:rPr>
          <w:t>Elaboración de estrategia</w:t>
        </w:r>
        <w:r>
          <w:rPr>
            <w:noProof/>
            <w:webHidden/>
          </w:rPr>
          <w:tab/>
        </w:r>
        <w:r>
          <w:rPr>
            <w:noProof/>
            <w:webHidden/>
          </w:rPr>
          <w:fldChar w:fldCharType="begin"/>
        </w:r>
        <w:r>
          <w:rPr>
            <w:noProof/>
            <w:webHidden/>
          </w:rPr>
          <w:instrText xml:space="preserve"> PAGEREF _Toc461642066 \h </w:instrText>
        </w:r>
        <w:r>
          <w:rPr>
            <w:noProof/>
            <w:webHidden/>
          </w:rPr>
        </w:r>
        <w:r>
          <w:rPr>
            <w:noProof/>
            <w:webHidden/>
          </w:rPr>
          <w:fldChar w:fldCharType="separate"/>
        </w:r>
        <w:r>
          <w:rPr>
            <w:noProof/>
            <w:webHidden/>
          </w:rPr>
          <w:t>4</w:t>
        </w:r>
        <w:r>
          <w:rPr>
            <w:noProof/>
            <w:webHidden/>
          </w:rPr>
          <w:fldChar w:fldCharType="end"/>
        </w:r>
      </w:hyperlink>
    </w:p>
    <w:p w:rsidR="00373BFE" w:rsidRDefault="00373BFE" w:rsidP="00373BFE">
      <w:pPr>
        <w:spacing w:after="0" w:line="240" w:lineRule="auto"/>
        <w:rPr>
          <w:b/>
          <w:lang w:val="es-ES_tradnl"/>
        </w:rPr>
      </w:pPr>
      <w:r w:rsidRPr="000F0090">
        <w:fldChar w:fldCharType="end"/>
      </w:r>
    </w:p>
    <w:p w:rsidR="002466B7" w:rsidRPr="00F33BCA" w:rsidRDefault="00070DD6" w:rsidP="00373BFE">
      <w:pPr>
        <w:pStyle w:val="Ttulo1"/>
        <w:rPr>
          <w:lang w:val="es-ES_tradnl"/>
        </w:rPr>
      </w:pPr>
      <w:bookmarkStart w:id="1" w:name="_Toc461642061"/>
      <w:r w:rsidRPr="00F33BCA">
        <w:rPr>
          <w:lang w:val="es-ES_tradnl"/>
        </w:rPr>
        <w:t>Marco Legal</w:t>
      </w:r>
      <w:bookmarkEnd w:id="1"/>
    </w:p>
    <w:p w:rsidR="002466B7" w:rsidRDefault="002466B7" w:rsidP="00C166D8">
      <w:pPr>
        <w:spacing w:after="0" w:line="240" w:lineRule="auto"/>
        <w:jc w:val="both"/>
        <w:rPr>
          <w:i/>
          <w:lang w:val="es-ES_tradnl"/>
        </w:rPr>
      </w:pPr>
    </w:p>
    <w:p w:rsidR="00EE6D0B" w:rsidRDefault="00EE6D0B" w:rsidP="00C166D8">
      <w:pPr>
        <w:spacing w:after="0" w:line="240" w:lineRule="auto"/>
        <w:jc w:val="both"/>
        <w:rPr>
          <w:lang w:val="es-ES_tradnl"/>
        </w:rPr>
      </w:pPr>
      <w:r w:rsidRPr="00C166D8">
        <w:rPr>
          <w:lang w:val="es-ES_tradnl"/>
        </w:rPr>
        <w:t>De acuerdo al a</w:t>
      </w:r>
      <w:r w:rsidR="00FA7B78" w:rsidRPr="00C166D8">
        <w:rPr>
          <w:lang w:val="es-ES_tradnl"/>
        </w:rPr>
        <w:t xml:space="preserve">rtículo 3 del Tratado de la Unión Europea </w:t>
      </w:r>
      <w:r w:rsidRPr="00C166D8">
        <w:rPr>
          <w:lang w:val="es-ES_tradnl"/>
        </w:rPr>
        <w:t>(TUE) la “</w:t>
      </w:r>
      <w:r w:rsidR="00FA7B78" w:rsidRPr="00C166D8">
        <w:rPr>
          <w:lang w:val="es-ES_tradnl"/>
        </w:rPr>
        <w:t>Unión combatirá la exclusión social y la discriminación y fomentará la justicia y la protección</w:t>
      </w:r>
      <w:r w:rsidRPr="00C166D8">
        <w:rPr>
          <w:lang w:val="es-ES_tradnl"/>
        </w:rPr>
        <w:t xml:space="preserve"> </w:t>
      </w:r>
      <w:r w:rsidR="00FA7B78" w:rsidRPr="00C166D8">
        <w:rPr>
          <w:lang w:val="es-ES_tradnl"/>
        </w:rPr>
        <w:t>sociales, la igualdad entre mujeres y hombres, la solidaridad entre las generaciones y la protección de</w:t>
      </w:r>
      <w:r w:rsidR="00C166D8">
        <w:rPr>
          <w:lang w:val="es-ES_tradnl"/>
        </w:rPr>
        <w:t xml:space="preserve"> </w:t>
      </w:r>
      <w:r w:rsidR="00FA7B78" w:rsidRPr="00C166D8">
        <w:rPr>
          <w:lang w:val="es-ES_tradnl"/>
        </w:rPr>
        <w:t>los derechos del niño.</w:t>
      </w:r>
      <w:r w:rsidRPr="00C166D8">
        <w:rPr>
          <w:lang w:val="es-ES_tradnl"/>
        </w:rPr>
        <w:t xml:space="preserve"> </w:t>
      </w:r>
      <w:r w:rsidR="00FA7B78" w:rsidRPr="00C166D8">
        <w:rPr>
          <w:lang w:val="es-ES_tradnl"/>
        </w:rPr>
        <w:t>La Unión fomentará la cohesión económica, social y territorial y la solidaridad entre los Estados</w:t>
      </w:r>
      <w:r w:rsidR="00C166D8">
        <w:rPr>
          <w:lang w:val="es-ES_tradnl"/>
        </w:rPr>
        <w:t xml:space="preserve"> </w:t>
      </w:r>
      <w:r w:rsidR="00FA7B78" w:rsidRPr="00FA7B78">
        <w:rPr>
          <w:lang w:val="es-ES_tradnl"/>
        </w:rPr>
        <w:t>miembros</w:t>
      </w:r>
      <w:r>
        <w:rPr>
          <w:lang w:val="es-ES_tradnl"/>
        </w:rPr>
        <w:t>”</w:t>
      </w:r>
      <w:r w:rsidR="00FA7B78" w:rsidRPr="00FA7B78">
        <w:rPr>
          <w:lang w:val="es-ES_tradnl"/>
        </w:rPr>
        <w:t>.</w:t>
      </w:r>
    </w:p>
    <w:p w:rsidR="00FA7B78" w:rsidRDefault="00EE6D0B" w:rsidP="00C166D8">
      <w:pPr>
        <w:spacing w:after="0" w:line="240" w:lineRule="auto"/>
        <w:jc w:val="both"/>
        <w:rPr>
          <w:lang w:val="es-ES_tradnl"/>
        </w:rPr>
      </w:pPr>
      <w:r>
        <w:rPr>
          <w:lang w:val="es-ES_tradnl"/>
        </w:rPr>
        <w:t xml:space="preserve"> </w:t>
      </w:r>
    </w:p>
    <w:p w:rsidR="00FA7B78" w:rsidRDefault="00EE6D0B" w:rsidP="00C166D8">
      <w:pPr>
        <w:spacing w:after="0" w:line="240" w:lineRule="auto"/>
        <w:jc w:val="both"/>
        <w:rPr>
          <w:lang w:val="es-ES_tradnl"/>
        </w:rPr>
      </w:pPr>
      <w:r>
        <w:rPr>
          <w:lang w:val="es-ES_tradnl"/>
        </w:rPr>
        <w:t>Más concretamente, el a</w:t>
      </w:r>
      <w:r w:rsidR="00FA7B78">
        <w:rPr>
          <w:lang w:val="es-ES_tradnl"/>
        </w:rPr>
        <w:t>rtículo 4 del TFUE</w:t>
      </w:r>
      <w:r>
        <w:rPr>
          <w:lang w:val="es-ES_tradnl"/>
        </w:rPr>
        <w:t xml:space="preserve"> establece que </w:t>
      </w:r>
      <w:r w:rsidR="00E57C3A">
        <w:rPr>
          <w:lang w:val="es-ES_tradnl"/>
        </w:rPr>
        <w:t xml:space="preserve">la “política social” y la “cohesión social” son competencias compartidas entre los Estados miembros y la Unión. Así, el </w:t>
      </w:r>
      <w:r w:rsidR="00C166D8">
        <w:rPr>
          <w:lang w:val="es-ES_tradnl"/>
        </w:rPr>
        <w:t>Título</w:t>
      </w:r>
      <w:r w:rsidR="00E57C3A">
        <w:rPr>
          <w:lang w:val="es-ES_tradnl"/>
        </w:rPr>
        <w:t xml:space="preserve"> X (arts. 151 a 161) establece las competencias sobre esta materia, mayormente de empleo y condiciones laborales, si bien, “</w:t>
      </w:r>
      <w:r w:rsidR="00E57C3A" w:rsidRPr="00E57C3A">
        <w:rPr>
          <w:lang w:val="es-ES_tradnl"/>
        </w:rPr>
        <w:t>la lucha contra la exclusión social</w:t>
      </w:r>
      <w:r w:rsidR="00E57C3A">
        <w:rPr>
          <w:lang w:val="es-ES_tradnl"/>
        </w:rPr>
        <w:t>” y “</w:t>
      </w:r>
      <w:r w:rsidR="00E57C3A" w:rsidRPr="00E57C3A">
        <w:rPr>
          <w:lang w:val="es-ES_tradnl"/>
        </w:rPr>
        <w:t>la modernización de los sistemas de protección social</w:t>
      </w:r>
      <w:r w:rsidR="00E57C3A">
        <w:rPr>
          <w:lang w:val="es-ES_tradnl"/>
        </w:rPr>
        <w:t xml:space="preserve">” figuran como competencias compartidas. </w:t>
      </w:r>
      <w:r w:rsidR="00C166D8">
        <w:rPr>
          <w:lang w:val="es-ES_tradnl"/>
        </w:rPr>
        <w:t>Estas competencias se limitan a “</w:t>
      </w:r>
      <w:r w:rsidR="00C166D8" w:rsidRPr="00C166D8">
        <w:rPr>
          <w:lang w:val="es-ES_tradnl"/>
        </w:rPr>
        <w:t xml:space="preserve">fomentar la cooperación entre los Estados miembros mediante iniciativas para mejorar los conocimientos, desarrollar el intercambio de información y de buenas prácticas, promover fórmulas innovadoras y evaluar experiencias, </w:t>
      </w:r>
      <w:r w:rsidR="00C166D8" w:rsidRPr="009A5816">
        <w:rPr>
          <w:u w:val="single"/>
          <w:lang w:val="es-ES_tradnl"/>
        </w:rPr>
        <w:t>con exclusión de toda armonización de las disposiciones legales y reglamentarias</w:t>
      </w:r>
      <w:r w:rsidR="00C166D8" w:rsidRPr="00C166D8">
        <w:rPr>
          <w:lang w:val="es-ES_tradnl"/>
        </w:rPr>
        <w:t xml:space="preserve"> de los Estados miembros</w:t>
      </w:r>
      <w:r w:rsidR="00C166D8">
        <w:rPr>
          <w:lang w:val="es-ES_tradnl"/>
        </w:rPr>
        <w:t>”</w:t>
      </w:r>
      <w:r w:rsidR="009A5816">
        <w:rPr>
          <w:lang w:val="es-ES_tradnl"/>
        </w:rPr>
        <w:t>. En otras palabras, las políticas efectivas en esta materia son competencia de los Estados.</w:t>
      </w:r>
    </w:p>
    <w:p w:rsidR="009A5816" w:rsidRDefault="009A5816" w:rsidP="00C166D8">
      <w:pPr>
        <w:spacing w:after="0" w:line="240" w:lineRule="auto"/>
        <w:jc w:val="both"/>
        <w:rPr>
          <w:lang w:val="es-ES_tradnl"/>
        </w:rPr>
      </w:pPr>
    </w:p>
    <w:p w:rsidR="009A5816" w:rsidRDefault="00070DD6" w:rsidP="00C166D8">
      <w:pPr>
        <w:spacing w:after="0" w:line="240" w:lineRule="auto"/>
        <w:jc w:val="both"/>
        <w:rPr>
          <w:lang w:val="es-ES_tradnl"/>
        </w:rPr>
      </w:pPr>
      <w:r>
        <w:rPr>
          <w:lang w:val="es-ES_tradnl"/>
        </w:rPr>
        <w:t xml:space="preserve">La Comisión Europea tiene una Dirección General </w:t>
      </w:r>
      <w:r w:rsidR="00ED17FE">
        <w:rPr>
          <w:lang w:val="es-ES_tradnl"/>
        </w:rPr>
        <w:t xml:space="preserve">(DG) </w:t>
      </w:r>
      <w:r>
        <w:rPr>
          <w:lang w:val="es-ES_tradnl"/>
        </w:rPr>
        <w:t>de Empleo, Asuntos Sociales e Inclusión, que es la encargada de ejecutar y gestionar la actividad en este sentido</w:t>
      </w:r>
      <w:r w:rsidR="00ED17FE">
        <w:rPr>
          <w:rStyle w:val="Refdenotaalpie"/>
          <w:lang w:val="es-ES_tradnl"/>
        </w:rPr>
        <w:footnoteReference w:id="1"/>
      </w:r>
      <w:r>
        <w:rPr>
          <w:lang w:val="es-ES_tradnl"/>
        </w:rPr>
        <w:t xml:space="preserve">. </w:t>
      </w:r>
      <w:r w:rsidR="00ED17FE">
        <w:rPr>
          <w:lang w:val="es-ES_tradnl"/>
        </w:rPr>
        <w:t>Esta DG tiene unas competencias</w:t>
      </w:r>
      <w:r w:rsidR="002D3941">
        <w:rPr>
          <w:lang w:val="es-ES_tradnl"/>
        </w:rPr>
        <w:t xml:space="preserve"> </w:t>
      </w:r>
      <w:r w:rsidR="00ED17FE">
        <w:rPr>
          <w:lang w:val="es-ES_tradnl"/>
        </w:rPr>
        <w:t xml:space="preserve">marcadas en materia de empleo (derechos del trabajo, Estrategia Europea del Empleo, desplazarse por Europa </w:t>
      </w:r>
      <w:proofErr w:type="spellStart"/>
      <w:r w:rsidR="00ED17FE">
        <w:rPr>
          <w:lang w:val="es-ES_tradnl"/>
        </w:rPr>
        <w:t>etc</w:t>
      </w:r>
      <w:proofErr w:type="spellEnd"/>
      <w:r w:rsidR="00ED17FE">
        <w:rPr>
          <w:lang w:val="es-ES_tradnl"/>
        </w:rPr>
        <w:t>), y otra muy claramente marcada por los asuntos sociales como son:</w:t>
      </w:r>
    </w:p>
    <w:p w:rsidR="00ED17FE" w:rsidRDefault="00ED17FE" w:rsidP="00C166D8">
      <w:pPr>
        <w:spacing w:after="0" w:line="240" w:lineRule="auto"/>
        <w:jc w:val="both"/>
        <w:rPr>
          <w:lang w:val="es-ES_tradnl"/>
        </w:rPr>
      </w:pPr>
    </w:p>
    <w:p w:rsidR="00ED17FE" w:rsidRPr="00D24623" w:rsidRDefault="00ED17FE" w:rsidP="00D24623">
      <w:pPr>
        <w:pStyle w:val="Prrafodelista"/>
        <w:numPr>
          <w:ilvl w:val="0"/>
          <w:numId w:val="5"/>
        </w:numPr>
        <w:spacing w:after="0" w:line="240" w:lineRule="auto"/>
        <w:jc w:val="both"/>
        <w:rPr>
          <w:lang w:val="es-ES_tradnl"/>
        </w:rPr>
      </w:pPr>
      <w:r w:rsidRPr="00D24623">
        <w:rPr>
          <w:b/>
          <w:lang w:val="es-ES_tradnl"/>
        </w:rPr>
        <w:t>Pilar de derechos sociales</w:t>
      </w:r>
      <w:r w:rsidRPr="00D24623">
        <w:rPr>
          <w:lang w:val="es-ES_tradnl"/>
        </w:rPr>
        <w:t xml:space="preserve">: todavía sin definir, la Comisión ha lanzado una consulta pública para poder </w:t>
      </w:r>
      <w:r w:rsidR="002D3941" w:rsidRPr="00D24623">
        <w:rPr>
          <w:lang w:val="es-ES_tradnl"/>
        </w:rPr>
        <w:t>elaborarla</w:t>
      </w:r>
      <w:r w:rsidRPr="00D24623">
        <w:rPr>
          <w:lang w:val="es-ES_tradnl"/>
        </w:rPr>
        <w:t xml:space="preserve">. </w:t>
      </w:r>
      <w:r w:rsidR="00972155" w:rsidRPr="00D24623">
        <w:rPr>
          <w:lang w:val="es-ES_tradnl"/>
        </w:rPr>
        <w:t>Cualquier</w:t>
      </w:r>
      <w:r w:rsidRPr="00D24623">
        <w:rPr>
          <w:lang w:val="es-ES_tradnl"/>
        </w:rPr>
        <w:t xml:space="preserve"> ciudadano puede participar</w:t>
      </w:r>
      <w:r>
        <w:rPr>
          <w:rStyle w:val="Refdenotaalpie"/>
          <w:lang w:val="es-ES_tradnl"/>
        </w:rPr>
        <w:footnoteReference w:id="2"/>
      </w:r>
      <w:r w:rsidRPr="00D24623">
        <w:rPr>
          <w:lang w:val="es-ES_tradnl"/>
        </w:rPr>
        <w:t>.</w:t>
      </w:r>
    </w:p>
    <w:p w:rsidR="002D3941" w:rsidRPr="00D24623" w:rsidRDefault="00C8031E" w:rsidP="00D24623">
      <w:pPr>
        <w:pStyle w:val="Prrafodelista"/>
        <w:numPr>
          <w:ilvl w:val="0"/>
          <w:numId w:val="5"/>
        </w:numPr>
        <w:spacing w:after="0" w:line="240" w:lineRule="auto"/>
        <w:jc w:val="both"/>
        <w:rPr>
          <w:lang w:val="es-ES_tradnl"/>
        </w:rPr>
      </w:pPr>
      <w:r w:rsidRPr="00D24623">
        <w:rPr>
          <w:b/>
          <w:lang w:val="es-ES_tradnl"/>
        </w:rPr>
        <w:lastRenderedPageBreak/>
        <w:t>Protección social e inclusión social</w:t>
      </w:r>
      <w:r>
        <w:rPr>
          <w:rStyle w:val="Refdenotaalpie"/>
          <w:lang w:val="es-ES_tradnl"/>
        </w:rPr>
        <w:footnoteReference w:id="3"/>
      </w:r>
      <w:r w:rsidRPr="00D24623">
        <w:rPr>
          <w:lang w:val="es-ES_tradnl"/>
        </w:rPr>
        <w:t xml:space="preserve">: repartida en varios temas, inversión social </w:t>
      </w:r>
      <w:r w:rsidR="00D707CA" w:rsidRPr="00D24623">
        <w:rPr>
          <w:lang w:val="es-ES_tradnl"/>
        </w:rPr>
        <w:t xml:space="preserve">(a su vez desglasada en políticas de innovación social, personas sin hogar, inversión en la infancia, envejecimiento activo o servicios sociales de interés general). </w:t>
      </w:r>
    </w:p>
    <w:p w:rsidR="00C8031E" w:rsidRPr="00D24623" w:rsidRDefault="002D3941" w:rsidP="00D24623">
      <w:pPr>
        <w:pStyle w:val="Prrafodelista"/>
        <w:numPr>
          <w:ilvl w:val="0"/>
          <w:numId w:val="5"/>
        </w:numPr>
        <w:spacing w:after="0" w:line="240" w:lineRule="auto"/>
        <w:jc w:val="both"/>
        <w:rPr>
          <w:lang w:val="es-ES_tradnl"/>
        </w:rPr>
      </w:pPr>
      <w:r w:rsidRPr="00D24623">
        <w:rPr>
          <w:b/>
          <w:lang w:val="es-ES_tradnl"/>
        </w:rPr>
        <w:t>Plataforma Europea contra la Pobreza y la Exclusión Social</w:t>
      </w:r>
      <w:r w:rsidR="00972155">
        <w:rPr>
          <w:rStyle w:val="Refdenotaalpie"/>
          <w:lang w:val="es-ES_tradnl"/>
        </w:rPr>
        <w:footnoteReference w:id="4"/>
      </w:r>
      <w:r w:rsidRPr="00D24623">
        <w:rPr>
          <w:lang w:val="es-ES_tradnl"/>
        </w:rPr>
        <w:t>: una de las iniciativas estrella de la Comisión durante el periodo 2014-2020, la plataforma intenta conseguir una serie de objetivos</w:t>
      </w:r>
      <w:r w:rsidR="00972155" w:rsidRPr="00D24623">
        <w:rPr>
          <w:lang w:val="es-ES_tradnl"/>
        </w:rPr>
        <w:t>, entre ellos, trabajar en colaboración con la sociedad civil para contribuir con mayor eficacia a que se apliquen las reformas de política social. Hoy en día nadie pone en duda la importancia de la participación de las personas en situación de pobreza como catalizador de las estrategias de inclusión</w:t>
      </w:r>
      <w:r w:rsidR="00972155">
        <w:rPr>
          <w:rStyle w:val="Refdenotaalpie"/>
          <w:lang w:val="es-ES_tradnl"/>
        </w:rPr>
        <w:footnoteReference w:id="5"/>
      </w:r>
      <w:r w:rsidR="00972155" w:rsidRPr="00D24623">
        <w:rPr>
          <w:lang w:val="es-ES_tradnl"/>
        </w:rPr>
        <w:t>.</w:t>
      </w:r>
    </w:p>
    <w:p w:rsidR="009C2E7E" w:rsidRPr="00D24623" w:rsidRDefault="009C2E7E" w:rsidP="00D24623">
      <w:pPr>
        <w:pStyle w:val="Prrafodelista"/>
        <w:numPr>
          <w:ilvl w:val="0"/>
          <w:numId w:val="5"/>
        </w:numPr>
        <w:spacing w:after="0" w:line="240" w:lineRule="auto"/>
        <w:jc w:val="both"/>
        <w:rPr>
          <w:lang w:val="es-ES_tradnl"/>
        </w:rPr>
      </w:pPr>
      <w:r w:rsidRPr="00D24623">
        <w:rPr>
          <w:b/>
          <w:lang w:val="es-ES_tradnl"/>
        </w:rPr>
        <w:t>Comité de Protección Social</w:t>
      </w:r>
      <w:r>
        <w:rPr>
          <w:rStyle w:val="Refdenotaalpie"/>
          <w:lang w:val="es-ES_tradnl"/>
        </w:rPr>
        <w:footnoteReference w:id="6"/>
      </w:r>
      <w:r w:rsidRPr="00D24623">
        <w:rPr>
          <w:lang w:val="es-ES_tradnl"/>
        </w:rPr>
        <w:t xml:space="preserve">: es un órgano consultivo de la Comisión, formado por expertos nacionales. </w:t>
      </w:r>
      <w:r w:rsidR="00D24623" w:rsidRPr="00D24623">
        <w:rPr>
          <w:lang w:val="es-ES_tradnl"/>
        </w:rPr>
        <w:t>Publican numerosa documentación comparativa sobre la situación de la política social en diferentes Estados miembros.</w:t>
      </w:r>
    </w:p>
    <w:p w:rsidR="00972155" w:rsidRDefault="00972155" w:rsidP="00C166D8">
      <w:pPr>
        <w:spacing w:after="0" w:line="240" w:lineRule="auto"/>
        <w:jc w:val="both"/>
        <w:rPr>
          <w:lang w:val="es-ES_tradnl"/>
        </w:rPr>
      </w:pPr>
    </w:p>
    <w:p w:rsidR="00EB2253" w:rsidRPr="00D24623" w:rsidRDefault="00972155" w:rsidP="00C166D8">
      <w:pPr>
        <w:spacing w:after="0" w:line="240" w:lineRule="auto"/>
        <w:jc w:val="both"/>
        <w:rPr>
          <w:b/>
          <w:color w:val="FF0000"/>
          <w:lang w:val="es-ES_tradnl"/>
        </w:rPr>
      </w:pPr>
      <w:r w:rsidRPr="00D24623">
        <w:rPr>
          <w:b/>
          <w:color w:val="FF0000"/>
          <w:lang w:val="es-ES_tradnl"/>
        </w:rPr>
        <w:t xml:space="preserve">La Comisión también tiene un </w:t>
      </w:r>
      <w:r w:rsidR="00EB2253" w:rsidRPr="00D24623">
        <w:rPr>
          <w:b/>
          <w:color w:val="FF0000"/>
          <w:lang w:val="es-ES_tradnl"/>
        </w:rPr>
        <w:t>diálogo</w:t>
      </w:r>
      <w:r w:rsidRPr="00D24623">
        <w:rPr>
          <w:b/>
          <w:color w:val="FF0000"/>
          <w:lang w:val="es-ES_tradnl"/>
        </w:rPr>
        <w:t xml:space="preserve"> permanente con </w:t>
      </w:r>
      <w:proofErr w:type="spellStart"/>
      <w:r w:rsidRPr="00D24623">
        <w:rPr>
          <w:b/>
          <w:color w:val="FF0000"/>
          <w:lang w:val="es-ES_tradnl"/>
        </w:rPr>
        <w:t>ONGs</w:t>
      </w:r>
      <w:proofErr w:type="spellEnd"/>
      <w:r w:rsidRPr="00D24623">
        <w:rPr>
          <w:rStyle w:val="Refdenotaalpie"/>
          <w:b/>
          <w:color w:val="FF0000"/>
          <w:lang w:val="es-ES_tradnl"/>
        </w:rPr>
        <w:footnoteReference w:id="7"/>
      </w:r>
      <w:r w:rsidRPr="00D24623">
        <w:rPr>
          <w:b/>
          <w:color w:val="FF0000"/>
          <w:lang w:val="es-ES_tradnl"/>
        </w:rPr>
        <w:t xml:space="preserve">. </w:t>
      </w:r>
      <w:r w:rsidR="00EB2253" w:rsidRPr="00D24623">
        <w:rPr>
          <w:b/>
          <w:color w:val="FF0000"/>
          <w:lang w:val="es-ES_tradnl"/>
        </w:rPr>
        <w:t xml:space="preserve">En el enlace a la web se puede consultar el listado completo de </w:t>
      </w:r>
      <w:proofErr w:type="spellStart"/>
      <w:r w:rsidR="00EB2253" w:rsidRPr="00D24623">
        <w:rPr>
          <w:b/>
          <w:color w:val="FF0000"/>
          <w:lang w:val="es-ES_tradnl"/>
        </w:rPr>
        <w:t>ONGs</w:t>
      </w:r>
      <w:proofErr w:type="spellEnd"/>
      <w:r w:rsidR="00EB2253" w:rsidRPr="00D24623">
        <w:rPr>
          <w:b/>
          <w:color w:val="FF0000"/>
          <w:lang w:val="es-ES_tradnl"/>
        </w:rPr>
        <w:t xml:space="preserve"> de ámbito europeo que tienen este “diálogo” fluido, puede ser muy interesante como punto de partida.</w:t>
      </w:r>
    </w:p>
    <w:p w:rsidR="00D24623" w:rsidRDefault="00D24623" w:rsidP="00C166D8">
      <w:pPr>
        <w:spacing w:after="0" w:line="240" w:lineRule="auto"/>
        <w:jc w:val="both"/>
        <w:rPr>
          <w:lang w:val="es-ES_tradnl"/>
        </w:rPr>
      </w:pPr>
    </w:p>
    <w:p w:rsidR="00070DD6" w:rsidRPr="00162E39" w:rsidRDefault="00070DD6" w:rsidP="00373BFE">
      <w:pPr>
        <w:pStyle w:val="Ttulo1"/>
        <w:rPr>
          <w:lang w:val="es-ES_tradnl"/>
        </w:rPr>
      </w:pPr>
      <w:bookmarkStart w:id="2" w:name="_Toc461642062"/>
      <w:r w:rsidRPr="00162E39">
        <w:rPr>
          <w:lang w:val="es-ES_tradnl"/>
        </w:rPr>
        <w:t>Marco de financiación</w:t>
      </w:r>
      <w:r w:rsidR="00D24623" w:rsidRPr="00162E39">
        <w:rPr>
          <w:rStyle w:val="Refdenotaalpie"/>
          <w:b/>
          <w:lang w:val="es-ES_tradnl"/>
        </w:rPr>
        <w:footnoteReference w:id="8"/>
      </w:r>
      <w:bookmarkEnd w:id="2"/>
    </w:p>
    <w:p w:rsidR="00070DD6" w:rsidRDefault="00070DD6" w:rsidP="00C166D8">
      <w:pPr>
        <w:spacing w:after="0" w:line="240" w:lineRule="auto"/>
        <w:jc w:val="both"/>
        <w:rPr>
          <w:lang w:val="es-ES_tradnl"/>
        </w:rPr>
      </w:pPr>
    </w:p>
    <w:p w:rsidR="00D24623" w:rsidRDefault="00D24623" w:rsidP="00C166D8">
      <w:pPr>
        <w:spacing w:after="0" w:line="240" w:lineRule="auto"/>
        <w:jc w:val="both"/>
        <w:rPr>
          <w:lang w:val="es-ES_tradnl"/>
        </w:rPr>
      </w:pPr>
      <w:r>
        <w:rPr>
          <w:lang w:val="es-ES_tradnl"/>
        </w:rPr>
        <w:t>La UE cuenta con diversos instrumentos para</w:t>
      </w:r>
      <w:r w:rsidR="00162E39">
        <w:rPr>
          <w:lang w:val="es-ES_tradnl"/>
        </w:rPr>
        <w:t xml:space="preserve"> </w:t>
      </w:r>
      <w:r>
        <w:rPr>
          <w:lang w:val="es-ES_tradnl"/>
        </w:rPr>
        <w:t>financiar proyectos en el marco de la política de empleo y asuntos sociales. Los más relevantes:</w:t>
      </w:r>
    </w:p>
    <w:p w:rsidR="00070DD6" w:rsidRDefault="00070DD6" w:rsidP="00C166D8">
      <w:pPr>
        <w:spacing w:after="0" w:line="240" w:lineRule="auto"/>
        <w:jc w:val="both"/>
        <w:rPr>
          <w:lang w:val="es-ES_tradnl"/>
        </w:rPr>
      </w:pPr>
    </w:p>
    <w:p w:rsidR="00070DD6" w:rsidRPr="00C15352" w:rsidRDefault="00070DD6" w:rsidP="00C15352">
      <w:pPr>
        <w:pStyle w:val="Prrafodelista"/>
        <w:numPr>
          <w:ilvl w:val="0"/>
          <w:numId w:val="6"/>
        </w:numPr>
        <w:spacing w:after="0" w:line="240" w:lineRule="auto"/>
        <w:jc w:val="both"/>
        <w:rPr>
          <w:lang w:val="es-ES_tradnl"/>
        </w:rPr>
      </w:pPr>
      <w:r w:rsidRPr="00C15352">
        <w:rPr>
          <w:b/>
          <w:lang w:val="es-ES_tradnl"/>
        </w:rPr>
        <w:t>Fondo Social Europeo</w:t>
      </w:r>
      <w:r w:rsidR="00077A5D" w:rsidRPr="00C15352">
        <w:rPr>
          <w:b/>
          <w:lang w:val="es-ES_tradnl"/>
        </w:rPr>
        <w:t xml:space="preserve"> (FSE): </w:t>
      </w:r>
      <w:r w:rsidR="00077A5D" w:rsidRPr="00C15352">
        <w:rPr>
          <w:lang w:val="es-ES_tradnl"/>
        </w:rPr>
        <w:t xml:space="preserve">es un fondo descentralizado, Navarra ya tiene aprobado un </w:t>
      </w:r>
      <w:hyperlink r:id="rId8" w:history="1">
        <w:r w:rsidR="00077A5D" w:rsidRPr="00C15352">
          <w:rPr>
            <w:rStyle w:val="Hipervnculo"/>
            <w:lang w:val="es-ES_tradnl"/>
          </w:rPr>
          <w:t>Programa Operativo</w:t>
        </w:r>
      </w:hyperlink>
      <w:r w:rsidR="00077A5D" w:rsidRPr="00C15352">
        <w:rPr>
          <w:lang w:val="es-ES_tradnl"/>
        </w:rPr>
        <w:t xml:space="preserve"> en el que define los objetivos y prioridades del mismo. Navarra recibe 19,6 millones € durante todo el periodo 2014-2020. </w:t>
      </w:r>
    </w:p>
    <w:p w:rsidR="00070DD6" w:rsidRPr="00C15352" w:rsidRDefault="00070DD6" w:rsidP="00C15352">
      <w:pPr>
        <w:pStyle w:val="Prrafodelista"/>
        <w:numPr>
          <w:ilvl w:val="0"/>
          <w:numId w:val="6"/>
        </w:numPr>
        <w:spacing w:after="0" w:line="240" w:lineRule="auto"/>
        <w:jc w:val="both"/>
        <w:rPr>
          <w:lang w:val="es-ES_tradnl"/>
        </w:rPr>
      </w:pPr>
      <w:r w:rsidRPr="00C15352">
        <w:rPr>
          <w:b/>
          <w:lang w:val="es-ES_tradnl"/>
        </w:rPr>
        <w:t>Fondo Europeo de Adaptación a la Globalización (FEAG)</w:t>
      </w:r>
      <w:r w:rsidR="00556161" w:rsidRPr="00C15352">
        <w:rPr>
          <w:b/>
          <w:lang w:val="es-ES_tradnl"/>
        </w:rPr>
        <w:t xml:space="preserve">: </w:t>
      </w:r>
      <w:r w:rsidR="00556161" w:rsidRPr="00C15352">
        <w:rPr>
          <w:lang w:val="es-ES_tradnl"/>
        </w:rPr>
        <w:t>ayuda a los trabajadores que se han quedado sin empleo debido a las fluctuaciones del comercio mundial a encontrar cuanto antes un nuevo puesto de trabajo. Las personas o empresas que deseen solicitar financiación deben dirigirse a sus administraciones nacionales.</w:t>
      </w:r>
    </w:p>
    <w:p w:rsidR="00070DD6" w:rsidRPr="00C15352" w:rsidRDefault="00070DD6" w:rsidP="00C15352">
      <w:pPr>
        <w:pStyle w:val="Prrafodelista"/>
        <w:numPr>
          <w:ilvl w:val="0"/>
          <w:numId w:val="6"/>
        </w:numPr>
        <w:spacing w:after="0" w:line="240" w:lineRule="auto"/>
        <w:jc w:val="both"/>
        <w:rPr>
          <w:lang w:val="es-ES_tradnl"/>
        </w:rPr>
      </w:pPr>
      <w:r w:rsidRPr="00C15352">
        <w:rPr>
          <w:b/>
          <w:lang w:val="es-ES_tradnl"/>
        </w:rPr>
        <w:t>Fondo de Ayuda Europea para los Más Necesitados (FEAD)</w:t>
      </w:r>
      <w:r w:rsidR="00556161" w:rsidRPr="00C15352">
        <w:rPr>
          <w:b/>
          <w:lang w:val="es-ES_tradnl"/>
        </w:rPr>
        <w:t>:</w:t>
      </w:r>
      <w:r w:rsidR="00556161" w:rsidRPr="00C15352">
        <w:rPr>
          <w:lang w:val="es-ES_tradnl"/>
        </w:rPr>
        <w:t xml:space="preserve"> apoya las medidas emprendidas por los países de la UE para ofrecer ayuda material a los más necesitados. Las autoridades nacionales seleccionan a las organizaciones asociadas encargadas de proporcionar la ayuda, en función de los programas nacionales para 2014-2020 aprobados por la Comisión</w:t>
      </w:r>
      <w:r w:rsidR="00C15352" w:rsidRPr="00C15352">
        <w:rPr>
          <w:lang w:val="es-ES_tradnl"/>
        </w:rPr>
        <w:t xml:space="preserve">. Gestionados por el Ministerio, ver </w:t>
      </w:r>
      <w:hyperlink r:id="rId9" w:history="1">
        <w:r w:rsidR="00C15352" w:rsidRPr="00C15352">
          <w:rPr>
            <w:rStyle w:val="Hipervnculo"/>
            <w:lang w:val="es-ES_tradnl"/>
          </w:rPr>
          <w:t>http://www.empleo.gob.es/uafse/es/FEAD/PO_FEAD.pdf</w:t>
        </w:r>
      </w:hyperlink>
      <w:r w:rsidR="00C15352" w:rsidRPr="00C15352">
        <w:rPr>
          <w:lang w:val="es-ES_tradnl"/>
        </w:rPr>
        <w:t xml:space="preserve"> </w:t>
      </w:r>
    </w:p>
    <w:p w:rsidR="00C15352" w:rsidRPr="00C15352" w:rsidRDefault="00070DD6" w:rsidP="00C15352">
      <w:pPr>
        <w:pStyle w:val="Prrafodelista"/>
        <w:numPr>
          <w:ilvl w:val="0"/>
          <w:numId w:val="6"/>
        </w:numPr>
        <w:spacing w:after="0" w:line="240" w:lineRule="auto"/>
        <w:jc w:val="both"/>
        <w:rPr>
          <w:lang w:val="es-ES_tradnl"/>
        </w:rPr>
      </w:pPr>
      <w:r w:rsidRPr="00C15352">
        <w:rPr>
          <w:b/>
          <w:lang w:val="es-ES_tradnl"/>
        </w:rPr>
        <w:t>Programa Europeo de Empleo e Innovación Social (</w:t>
      </w:r>
      <w:proofErr w:type="spellStart"/>
      <w:r w:rsidRPr="00C15352">
        <w:rPr>
          <w:b/>
          <w:lang w:val="es-ES_tradnl"/>
        </w:rPr>
        <w:t>EaSI</w:t>
      </w:r>
      <w:proofErr w:type="spellEnd"/>
      <w:r w:rsidRPr="00C15352">
        <w:rPr>
          <w:b/>
          <w:lang w:val="es-ES_tradnl"/>
        </w:rPr>
        <w:t>)</w:t>
      </w:r>
      <w:r w:rsidR="00C15352" w:rsidRPr="00C15352">
        <w:rPr>
          <w:b/>
          <w:lang w:val="es-ES_tradnl"/>
        </w:rPr>
        <w:t>:</w:t>
      </w:r>
      <w:r w:rsidR="00C15352" w:rsidRPr="00C15352">
        <w:rPr>
          <w:lang w:val="es-ES_tradnl"/>
        </w:rPr>
        <w:t xml:space="preserve"> es un instrumento financiero gestionado directamente por la Comisión Europea para apoyar el empleo, la política social y la movilidad laboral en toda la UE. Para solicitar financiación, las organizaciones deben responder a una licitación o una convocatoria de propuestas.</w:t>
      </w:r>
      <w:r w:rsidR="00C15352">
        <w:rPr>
          <w:lang w:val="es-ES_tradnl"/>
        </w:rPr>
        <w:t xml:space="preserve"> Se sustenta en tres ejes, </w:t>
      </w:r>
      <w:r w:rsidR="00C15352" w:rsidRPr="00C15352">
        <w:rPr>
          <w:lang w:val="es-ES_tradnl"/>
        </w:rPr>
        <w:t>eje PROGRESS (61% del presupuesto total): modernización de las políticas de empleo y sociales</w:t>
      </w:r>
    </w:p>
    <w:p w:rsidR="00070DD6" w:rsidRPr="00C15352" w:rsidRDefault="00C15352" w:rsidP="00C15352">
      <w:pPr>
        <w:pStyle w:val="Prrafodelista"/>
        <w:spacing w:after="0" w:line="240" w:lineRule="auto"/>
        <w:ind w:left="360"/>
        <w:jc w:val="both"/>
        <w:rPr>
          <w:lang w:val="es-ES_tradnl"/>
        </w:rPr>
      </w:pPr>
      <w:r>
        <w:rPr>
          <w:lang w:val="es-ES_tradnl"/>
        </w:rPr>
        <w:t xml:space="preserve">; </w:t>
      </w:r>
      <w:r w:rsidRPr="00C15352">
        <w:rPr>
          <w:lang w:val="es-ES_tradnl"/>
        </w:rPr>
        <w:t>eje EURES (18% del presupuesto total): movilidad profesional</w:t>
      </w:r>
      <w:r>
        <w:rPr>
          <w:lang w:val="es-ES_tradnl"/>
        </w:rPr>
        <w:t xml:space="preserve">; </w:t>
      </w:r>
      <w:r w:rsidRPr="00C15352">
        <w:rPr>
          <w:lang w:val="es-ES_tradnl"/>
        </w:rPr>
        <w:t xml:space="preserve">eje </w:t>
      </w:r>
      <w:proofErr w:type="spellStart"/>
      <w:r w:rsidRPr="00C15352">
        <w:rPr>
          <w:lang w:val="es-ES_tradnl"/>
        </w:rPr>
        <w:t>Microfinanciación</w:t>
      </w:r>
      <w:proofErr w:type="spellEnd"/>
      <w:r w:rsidRPr="00C15352">
        <w:rPr>
          <w:lang w:val="es-ES_tradnl"/>
        </w:rPr>
        <w:t xml:space="preserve"> y emprendimiento social (21% del presupuesto total): acceso a la </w:t>
      </w:r>
      <w:proofErr w:type="spellStart"/>
      <w:r w:rsidRPr="00C15352">
        <w:rPr>
          <w:lang w:val="es-ES_tradnl"/>
        </w:rPr>
        <w:t>microfinanciación</w:t>
      </w:r>
      <w:proofErr w:type="spellEnd"/>
      <w:r w:rsidRPr="00C15352">
        <w:rPr>
          <w:lang w:val="es-ES_tradnl"/>
        </w:rPr>
        <w:t xml:space="preserve"> y al emprendimiento social.</w:t>
      </w:r>
    </w:p>
    <w:p w:rsidR="00C15352" w:rsidRDefault="00C15352" w:rsidP="00070DD6">
      <w:pPr>
        <w:spacing w:after="0" w:line="240" w:lineRule="auto"/>
        <w:jc w:val="both"/>
        <w:rPr>
          <w:lang w:val="es-ES_tradnl"/>
        </w:rPr>
      </w:pPr>
    </w:p>
    <w:p w:rsidR="00162E39" w:rsidRDefault="00162E39" w:rsidP="00070DD6">
      <w:pPr>
        <w:spacing w:after="0" w:line="240" w:lineRule="auto"/>
        <w:jc w:val="both"/>
        <w:rPr>
          <w:lang w:val="es-ES_tradnl"/>
        </w:rPr>
      </w:pPr>
      <w:r>
        <w:rPr>
          <w:lang w:val="es-ES_tradnl"/>
        </w:rPr>
        <w:t>Existen otros marcos de financiación como los programas Interreg (</w:t>
      </w:r>
      <w:proofErr w:type="spellStart"/>
      <w:r>
        <w:rPr>
          <w:lang w:val="es-ES_tradnl"/>
        </w:rPr>
        <w:t>Poctefa</w:t>
      </w:r>
      <w:proofErr w:type="spellEnd"/>
      <w:r>
        <w:rPr>
          <w:lang w:val="es-ES_tradnl"/>
        </w:rPr>
        <w:t xml:space="preserve">, Sudoe, Espacio Atlántico o </w:t>
      </w:r>
      <w:proofErr w:type="spellStart"/>
      <w:r>
        <w:rPr>
          <w:lang w:val="es-ES_tradnl"/>
        </w:rPr>
        <w:t>Europe</w:t>
      </w:r>
      <w:proofErr w:type="spellEnd"/>
      <w:r>
        <w:rPr>
          <w:lang w:val="es-ES_tradnl"/>
        </w:rPr>
        <w:t xml:space="preserve">) en los que pueden salir convocatorias en las que encajen asuntos de innovación social. Tampoco debemos obviar que en muchas de las convocatorias de programas como H2020 (innovación) se está exigiendo que los proyectos tengan un impacto significativo en la sociedad, tanto a nivel de empleo, como de mejora social.  </w:t>
      </w:r>
    </w:p>
    <w:p w:rsidR="005362EE" w:rsidRDefault="005362EE" w:rsidP="00070DD6">
      <w:pPr>
        <w:spacing w:after="0" w:line="240" w:lineRule="auto"/>
        <w:jc w:val="both"/>
        <w:rPr>
          <w:lang w:val="es-ES_tradnl"/>
        </w:rPr>
      </w:pPr>
    </w:p>
    <w:p w:rsidR="005362EE" w:rsidRPr="0080258A" w:rsidRDefault="0080258A" w:rsidP="00373BFE">
      <w:pPr>
        <w:pStyle w:val="Ttulo1"/>
        <w:rPr>
          <w:lang w:val="es-ES_tradnl"/>
        </w:rPr>
      </w:pPr>
      <w:bookmarkStart w:id="3" w:name="_Toc461642063"/>
      <w:r w:rsidRPr="0080258A">
        <w:rPr>
          <w:lang w:val="es-ES_tradnl"/>
        </w:rPr>
        <w:t xml:space="preserve">Posibles </w:t>
      </w:r>
      <w:r w:rsidR="00F33BCA" w:rsidRPr="0080258A">
        <w:rPr>
          <w:lang w:val="es-ES_tradnl"/>
        </w:rPr>
        <w:t>Acciones</w:t>
      </w:r>
      <w:bookmarkEnd w:id="3"/>
      <w:r w:rsidR="00F33BCA" w:rsidRPr="0080258A">
        <w:rPr>
          <w:lang w:val="es-ES_tradnl"/>
        </w:rPr>
        <w:t xml:space="preserve"> </w:t>
      </w:r>
    </w:p>
    <w:p w:rsidR="00F33BCA" w:rsidRDefault="00F33BCA" w:rsidP="00070DD6">
      <w:pPr>
        <w:spacing w:after="0" w:line="240" w:lineRule="auto"/>
        <w:jc w:val="both"/>
        <w:rPr>
          <w:lang w:val="es-ES_tradnl"/>
        </w:rPr>
      </w:pPr>
    </w:p>
    <w:p w:rsidR="00293155" w:rsidRPr="00373BFE" w:rsidRDefault="00200EB0" w:rsidP="00373BFE">
      <w:pPr>
        <w:pStyle w:val="Ttulo2"/>
        <w:rPr>
          <w:lang w:val="es-ES_tradnl"/>
        </w:rPr>
      </w:pPr>
      <w:bookmarkStart w:id="4" w:name="_Toc461642064"/>
      <w:r w:rsidRPr="00373BFE">
        <w:rPr>
          <w:lang w:val="es-ES_tradnl"/>
        </w:rPr>
        <w:t>Exploración de fuentes de información para tener un panorama suficiente</w:t>
      </w:r>
      <w:bookmarkEnd w:id="4"/>
    </w:p>
    <w:p w:rsidR="00293155" w:rsidRDefault="00293155" w:rsidP="00070DD6">
      <w:pPr>
        <w:spacing w:after="0" w:line="240" w:lineRule="auto"/>
        <w:jc w:val="both"/>
        <w:rPr>
          <w:lang w:val="es-ES_tradnl"/>
        </w:rPr>
      </w:pPr>
    </w:p>
    <w:p w:rsidR="00F33BCA" w:rsidRDefault="00F33BCA" w:rsidP="00070DD6">
      <w:pPr>
        <w:spacing w:after="0" w:line="240" w:lineRule="auto"/>
        <w:jc w:val="both"/>
        <w:rPr>
          <w:lang w:val="es-ES_tradnl"/>
        </w:rPr>
      </w:pPr>
      <w:r>
        <w:rPr>
          <w:lang w:val="es-ES_tradnl"/>
        </w:rPr>
        <w:t xml:space="preserve">La </w:t>
      </w:r>
      <w:r w:rsidRPr="00373BFE">
        <w:rPr>
          <w:b/>
          <w:lang w:val="es-ES_tradnl"/>
        </w:rPr>
        <w:t>información</w:t>
      </w:r>
      <w:r>
        <w:rPr>
          <w:lang w:val="es-ES_tradnl"/>
        </w:rPr>
        <w:t xml:space="preserve"> que existe es muy variada y abundante. Se recomienda empezar por explorar el contenido que ofrece la DG de Empleo, Asuntos Sociales e Inclusión, tal y como se ha hecho en esta breve ficha técnica). En concreto se sugieren dos tipos de acciones:</w:t>
      </w:r>
    </w:p>
    <w:p w:rsidR="00F33BCA" w:rsidRDefault="00F33BCA" w:rsidP="00070DD6">
      <w:pPr>
        <w:spacing w:after="0" w:line="240" w:lineRule="auto"/>
        <w:jc w:val="both"/>
        <w:rPr>
          <w:lang w:val="es-ES_tradnl"/>
        </w:rPr>
      </w:pPr>
    </w:p>
    <w:p w:rsidR="00F33BCA" w:rsidRDefault="00F33BCA" w:rsidP="00536970">
      <w:pPr>
        <w:pStyle w:val="Prrafodelista"/>
        <w:numPr>
          <w:ilvl w:val="0"/>
          <w:numId w:val="7"/>
        </w:numPr>
        <w:spacing w:after="0" w:line="240" w:lineRule="auto"/>
        <w:jc w:val="both"/>
        <w:rPr>
          <w:lang w:val="es-ES_tradnl"/>
        </w:rPr>
      </w:pPr>
      <w:r w:rsidRPr="00536970">
        <w:rPr>
          <w:lang w:val="es-ES_tradnl"/>
        </w:rPr>
        <w:t>Suscripción a revista de la DG mencionada, para recibir información constante sobre novedades.</w:t>
      </w:r>
    </w:p>
    <w:p w:rsidR="00200EB0" w:rsidRPr="00536970" w:rsidRDefault="00BC5D99" w:rsidP="00BC5D99">
      <w:pPr>
        <w:pStyle w:val="Prrafodelista"/>
        <w:numPr>
          <w:ilvl w:val="0"/>
          <w:numId w:val="7"/>
        </w:numPr>
        <w:spacing w:after="0" w:line="240" w:lineRule="auto"/>
        <w:jc w:val="both"/>
        <w:rPr>
          <w:lang w:val="es-ES_tradnl"/>
        </w:rPr>
      </w:pPr>
      <w:r>
        <w:rPr>
          <w:lang w:val="es-ES_tradnl"/>
        </w:rPr>
        <w:t>Navarra participa en el Comité de los Regiones. De hecho, form</w:t>
      </w:r>
      <w:r w:rsidR="00373BFE">
        <w:rPr>
          <w:lang w:val="es-ES_tradnl"/>
        </w:rPr>
        <w:t>a</w:t>
      </w:r>
      <w:r>
        <w:rPr>
          <w:lang w:val="es-ES_tradnl"/>
        </w:rPr>
        <w:t xml:space="preserve"> parte de la </w:t>
      </w:r>
      <w:r w:rsidRPr="00BC5D99">
        <w:rPr>
          <w:lang w:val="es-ES_tradnl"/>
        </w:rPr>
        <w:t>Comisión de Política Social, Educación, Empleo, Investigación y Cultura (SEDEC)</w:t>
      </w:r>
      <w:r>
        <w:rPr>
          <w:rStyle w:val="Refdenotaalpie"/>
          <w:lang w:val="es-ES_tradnl"/>
        </w:rPr>
        <w:footnoteReference w:id="9"/>
      </w:r>
      <w:r>
        <w:rPr>
          <w:lang w:val="es-ES_tradnl"/>
        </w:rPr>
        <w:t>. Por medio de la Delegación, se estima que puede existir un canal de información sobre las actividades de este organismo.</w:t>
      </w:r>
    </w:p>
    <w:p w:rsidR="00200EB0" w:rsidRDefault="00200EB0" w:rsidP="00200EB0">
      <w:pPr>
        <w:spacing w:after="0" w:line="240" w:lineRule="auto"/>
        <w:jc w:val="both"/>
        <w:rPr>
          <w:lang w:val="es-ES_tradnl"/>
        </w:rPr>
      </w:pPr>
    </w:p>
    <w:p w:rsidR="00BC5D99" w:rsidRPr="00373BFE" w:rsidRDefault="00373BFE" w:rsidP="00373BFE">
      <w:pPr>
        <w:pStyle w:val="Ttulo2"/>
        <w:rPr>
          <w:lang w:val="es-ES_tradnl"/>
        </w:rPr>
      </w:pPr>
      <w:bookmarkStart w:id="5" w:name="_Toc461642065"/>
      <w:r w:rsidRPr="00373BFE">
        <w:rPr>
          <w:lang w:val="es-ES_tradnl"/>
        </w:rPr>
        <w:t>Exploración</w:t>
      </w:r>
      <w:r w:rsidR="00BC5D99" w:rsidRPr="00373BFE">
        <w:rPr>
          <w:lang w:val="es-ES_tradnl"/>
        </w:rPr>
        <w:t xml:space="preserve"> de las redes o asociaciones de ámbito europeo</w:t>
      </w:r>
      <w:bookmarkEnd w:id="5"/>
    </w:p>
    <w:p w:rsidR="00200EB0" w:rsidRDefault="00200EB0" w:rsidP="00200EB0">
      <w:pPr>
        <w:spacing w:after="0" w:line="240" w:lineRule="auto"/>
        <w:jc w:val="both"/>
        <w:rPr>
          <w:lang w:val="es-ES_tradnl"/>
        </w:rPr>
      </w:pPr>
    </w:p>
    <w:p w:rsidR="0094503D" w:rsidRDefault="00BC5D99" w:rsidP="00200EB0">
      <w:pPr>
        <w:spacing w:after="0" w:line="240" w:lineRule="auto"/>
        <w:jc w:val="both"/>
        <w:rPr>
          <w:lang w:val="es-ES_tradnl"/>
        </w:rPr>
      </w:pPr>
      <w:r>
        <w:rPr>
          <w:lang w:val="es-ES_tradnl"/>
        </w:rPr>
        <w:t xml:space="preserve">Se </w:t>
      </w:r>
      <w:r w:rsidR="00373BFE">
        <w:rPr>
          <w:lang w:val="es-ES_tradnl"/>
        </w:rPr>
        <w:t>considera</w:t>
      </w:r>
      <w:r>
        <w:rPr>
          <w:lang w:val="es-ES_tradnl"/>
        </w:rPr>
        <w:t xml:space="preserve"> imprescindible un a</w:t>
      </w:r>
      <w:r w:rsidR="00684EAD" w:rsidRPr="00200EB0">
        <w:rPr>
          <w:lang w:val="es-ES_tradnl"/>
        </w:rPr>
        <w:t xml:space="preserve">nálisis del listado de </w:t>
      </w:r>
      <w:proofErr w:type="spellStart"/>
      <w:r w:rsidR="00684EAD" w:rsidRPr="00200EB0">
        <w:rPr>
          <w:lang w:val="es-ES_tradnl"/>
        </w:rPr>
        <w:t>ONGs</w:t>
      </w:r>
      <w:proofErr w:type="spellEnd"/>
      <w:r w:rsidR="00684EAD" w:rsidRPr="00200EB0">
        <w:rPr>
          <w:lang w:val="es-ES_tradnl"/>
        </w:rPr>
        <w:t xml:space="preserve"> que ya tienen un diálogo abierto con la Comisión, seleccionar los potencialmente interesantes</w:t>
      </w:r>
      <w:r w:rsidR="00B75CF1" w:rsidRPr="00200EB0">
        <w:rPr>
          <w:lang w:val="es-ES_tradnl"/>
        </w:rPr>
        <w:t xml:space="preserve">. </w:t>
      </w:r>
    </w:p>
    <w:p w:rsidR="0094503D" w:rsidRDefault="0094503D" w:rsidP="00200EB0">
      <w:pPr>
        <w:spacing w:after="0" w:line="240" w:lineRule="auto"/>
        <w:jc w:val="both"/>
        <w:rPr>
          <w:lang w:val="es-ES_tradnl"/>
        </w:rPr>
      </w:pPr>
    </w:p>
    <w:p w:rsidR="0094503D" w:rsidRDefault="0094503D" w:rsidP="0094503D">
      <w:pPr>
        <w:spacing w:after="0" w:line="240" w:lineRule="auto"/>
        <w:jc w:val="both"/>
        <w:rPr>
          <w:lang w:val="es-ES_tradnl"/>
        </w:rPr>
      </w:pPr>
      <w:r>
        <w:rPr>
          <w:lang w:val="es-ES_tradnl"/>
        </w:rPr>
        <w:t xml:space="preserve">Ver link: </w:t>
      </w:r>
      <w:hyperlink r:id="rId10" w:history="1">
        <w:r w:rsidRPr="005F11BE">
          <w:rPr>
            <w:rStyle w:val="Hipervnculo"/>
          </w:rPr>
          <w:t>http://ec.europa.eu/social/main.jsp?catId=330&amp;langId=en</w:t>
        </w:r>
      </w:hyperlink>
    </w:p>
    <w:p w:rsidR="0094503D" w:rsidRDefault="0094503D" w:rsidP="00200EB0">
      <w:pPr>
        <w:spacing w:after="0" w:line="240" w:lineRule="auto"/>
        <w:jc w:val="both"/>
        <w:rPr>
          <w:lang w:val="es-ES_tradnl"/>
        </w:rPr>
      </w:pPr>
    </w:p>
    <w:p w:rsidR="0094503D" w:rsidRDefault="0094503D" w:rsidP="00200EB0">
      <w:pPr>
        <w:spacing w:after="0" w:line="240" w:lineRule="auto"/>
        <w:jc w:val="both"/>
        <w:rPr>
          <w:lang w:val="es-ES_tradnl"/>
        </w:rPr>
      </w:pPr>
      <w:r>
        <w:rPr>
          <w:lang w:val="es-ES_tradnl"/>
        </w:rPr>
        <w:t xml:space="preserve">Además, la web de la Delegación de Navarra en Bruselas ofrece una </w:t>
      </w:r>
      <w:r w:rsidRPr="00373BFE">
        <w:rPr>
          <w:b/>
          <w:lang w:val="es-ES_tradnl"/>
        </w:rPr>
        <w:t>base de datos de redes de ámbito europeo</w:t>
      </w:r>
      <w:r>
        <w:rPr>
          <w:lang w:val="es-ES_tradnl"/>
        </w:rPr>
        <w:t xml:space="preserve"> que puede filtrarse por empleo y asuntos sociales. Existen cerca de 80 redes detectadas. Por poner un ejemplo, </w:t>
      </w:r>
      <w:r w:rsidRPr="0094503D">
        <w:rPr>
          <w:lang w:val="es-ES_tradnl"/>
        </w:rPr>
        <w:t xml:space="preserve">ENSA - </w:t>
      </w:r>
      <w:proofErr w:type="spellStart"/>
      <w:r w:rsidRPr="0094503D">
        <w:rPr>
          <w:lang w:val="es-ES_tradnl"/>
        </w:rPr>
        <w:t>European</w:t>
      </w:r>
      <w:proofErr w:type="spellEnd"/>
      <w:r w:rsidRPr="0094503D">
        <w:rPr>
          <w:lang w:val="es-ES_tradnl"/>
        </w:rPr>
        <w:t xml:space="preserve"> Network of Social </w:t>
      </w:r>
      <w:proofErr w:type="spellStart"/>
      <w:r w:rsidRPr="0094503D">
        <w:rPr>
          <w:lang w:val="es-ES_tradnl"/>
        </w:rPr>
        <w:t>Authorities</w:t>
      </w:r>
      <w:proofErr w:type="spellEnd"/>
      <w:r>
        <w:rPr>
          <w:lang w:val="es-ES_tradnl"/>
        </w:rPr>
        <w:t xml:space="preserve">, </w:t>
      </w:r>
      <w:r w:rsidRPr="0094503D">
        <w:rPr>
          <w:lang w:val="es-ES_tradnl"/>
        </w:rPr>
        <w:t xml:space="preserve">una red de ciudades y regiones de Europa que tiene el objetivo de promover la cooperación internacional en el ámbito social. Fue creada por la región de </w:t>
      </w:r>
      <w:proofErr w:type="spellStart"/>
      <w:r w:rsidRPr="0094503D">
        <w:rPr>
          <w:lang w:val="es-ES_tradnl"/>
        </w:rPr>
        <w:t>Veneto</w:t>
      </w:r>
      <w:proofErr w:type="spellEnd"/>
      <w:r w:rsidRPr="0094503D">
        <w:rPr>
          <w:lang w:val="es-ES_tradnl"/>
        </w:rPr>
        <w:t xml:space="preserve"> (Italia) en 1999. Objetivos - Fomentar la cooperación internacional, el aprendizaje mutuo, el intercambio de conocimientos técnicos, de los modelos culturales y de experiencia en el sector </w:t>
      </w:r>
      <w:proofErr w:type="gramStart"/>
      <w:r w:rsidRPr="0094503D">
        <w:rPr>
          <w:lang w:val="es-ES_tradnl"/>
        </w:rPr>
        <w:t>social;  -</w:t>
      </w:r>
      <w:proofErr w:type="gramEnd"/>
      <w:r w:rsidRPr="0094503D">
        <w:rPr>
          <w:lang w:val="es-ES_tradnl"/>
        </w:rPr>
        <w:t xml:space="preserve"> profundizar en el diálogo sobre las políticas sociales con las instituciones europeas;  - participar en proyectos europeos innovadores;  - facilitar la participación de los nuevos miembros de la red, en particular de nuevos países miembros de la UE</w:t>
      </w:r>
      <w:r>
        <w:rPr>
          <w:lang w:val="es-ES_tradnl"/>
        </w:rPr>
        <w:t>. Ver listado completo en el link.</w:t>
      </w:r>
    </w:p>
    <w:p w:rsidR="0094503D" w:rsidRDefault="0094503D" w:rsidP="00200EB0">
      <w:pPr>
        <w:spacing w:after="0" w:line="240" w:lineRule="auto"/>
        <w:jc w:val="both"/>
        <w:rPr>
          <w:lang w:val="es-ES_tradnl"/>
        </w:rPr>
      </w:pPr>
    </w:p>
    <w:p w:rsidR="0094503D" w:rsidRDefault="0094503D" w:rsidP="0094503D">
      <w:pPr>
        <w:spacing w:after="0" w:line="240" w:lineRule="auto"/>
        <w:jc w:val="both"/>
        <w:rPr>
          <w:lang w:val="es-ES_tradnl"/>
        </w:rPr>
      </w:pPr>
      <w:r>
        <w:rPr>
          <w:lang w:val="es-ES_tradnl"/>
        </w:rPr>
        <w:t xml:space="preserve">Ver link: </w:t>
      </w:r>
      <w:hyperlink r:id="rId11" w:history="1">
        <w:r w:rsidRPr="005F11BE">
          <w:rPr>
            <w:rStyle w:val="Hipervnculo"/>
            <w:lang w:val="es-ES_tradnl"/>
          </w:rPr>
          <w:t>http://na.bruselas.site/es/redes?f[0]=field_sector%3A10</w:t>
        </w:r>
      </w:hyperlink>
      <w:r>
        <w:rPr>
          <w:lang w:val="es-ES_tradnl"/>
        </w:rPr>
        <w:t xml:space="preserve"> </w:t>
      </w:r>
    </w:p>
    <w:p w:rsidR="0094503D" w:rsidRDefault="0094503D" w:rsidP="00200EB0">
      <w:pPr>
        <w:spacing w:after="0" w:line="240" w:lineRule="auto"/>
        <w:jc w:val="both"/>
        <w:rPr>
          <w:lang w:val="es-ES_tradnl"/>
        </w:rPr>
      </w:pPr>
    </w:p>
    <w:p w:rsidR="0094503D" w:rsidRPr="00373BFE" w:rsidRDefault="0094503D" w:rsidP="00200EB0">
      <w:pPr>
        <w:spacing w:after="0" w:line="240" w:lineRule="auto"/>
        <w:jc w:val="both"/>
        <w:rPr>
          <w:b/>
          <w:lang w:val="es-ES_tradnl"/>
        </w:rPr>
      </w:pPr>
      <w:r w:rsidRPr="00373BFE">
        <w:rPr>
          <w:b/>
          <w:lang w:val="es-ES_tradnl"/>
        </w:rPr>
        <w:t>Hay que tener en cuenta que las redes son una fuente perfecta de obtención de información práctica para conocer cómo y qué tipo de actividades se desarrollan en la UE, en otras palabras, son fuente de inspiración. Además, son los socios imprescindibles para poder desarrollar proyectos.</w:t>
      </w:r>
    </w:p>
    <w:p w:rsidR="0094503D" w:rsidRDefault="0094503D" w:rsidP="00200EB0">
      <w:pPr>
        <w:spacing w:after="0" w:line="240" w:lineRule="auto"/>
        <w:jc w:val="both"/>
        <w:rPr>
          <w:lang w:val="es-ES_tradnl"/>
        </w:rPr>
      </w:pPr>
    </w:p>
    <w:p w:rsidR="00373BFE" w:rsidRPr="00373BFE" w:rsidRDefault="00373BFE" w:rsidP="00373BFE">
      <w:pPr>
        <w:pStyle w:val="Ttulo2"/>
        <w:rPr>
          <w:lang w:val="es-ES_tradnl"/>
        </w:rPr>
      </w:pPr>
      <w:bookmarkStart w:id="6" w:name="_Toc461642066"/>
      <w:r w:rsidRPr="00373BFE">
        <w:rPr>
          <w:lang w:val="es-ES_tradnl"/>
        </w:rPr>
        <w:lastRenderedPageBreak/>
        <w:t>Elaboración de estrategia</w:t>
      </w:r>
      <w:bookmarkEnd w:id="6"/>
    </w:p>
    <w:p w:rsidR="00373BFE" w:rsidRDefault="00373BFE" w:rsidP="00200EB0">
      <w:pPr>
        <w:spacing w:after="0" w:line="240" w:lineRule="auto"/>
        <w:jc w:val="both"/>
        <w:rPr>
          <w:lang w:val="es-ES_tradnl"/>
        </w:rPr>
      </w:pPr>
    </w:p>
    <w:p w:rsidR="00574602" w:rsidRDefault="00B75CF1" w:rsidP="00070DD6">
      <w:pPr>
        <w:spacing w:after="0" w:line="240" w:lineRule="auto"/>
        <w:jc w:val="both"/>
        <w:rPr>
          <w:lang w:val="es-ES_tradnl"/>
        </w:rPr>
      </w:pPr>
      <w:r w:rsidRPr="00200EB0">
        <w:rPr>
          <w:lang w:val="es-ES_tradnl"/>
        </w:rPr>
        <w:t>A partir de dicho análisis</w:t>
      </w:r>
      <w:r w:rsidR="0094503D">
        <w:rPr>
          <w:lang w:val="es-ES_tradnl"/>
        </w:rPr>
        <w:t xml:space="preserve"> de las fuentes de información y redes</w:t>
      </w:r>
      <w:r w:rsidRPr="00200EB0">
        <w:rPr>
          <w:lang w:val="es-ES_tradnl"/>
        </w:rPr>
        <w:t xml:space="preserve">, </w:t>
      </w:r>
      <w:r w:rsidR="0094503D">
        <w:rPr>
          <w:lang w:val="es-ES_tradnl"/>
        </w:rPr>
        <w:t xml:space="preserve">se debe </w:t>
      </w:r>
      <w:r w:rsidRPr="00200EB0">
        <w:rPr>
          <w:lang w:val="es-ES_tradnl"/>
        </w:rPr>
        <w:t xml:space="preserve">establecer una </w:t>
      </w:r>
      <w:r w:rsidR="00574602" w:rsidRPr="0094503D">
        <w:rPr>
          <w:b/>
          <w:lang w:val="es-ES_tradnl"/>
        </w:rPr>
        <w:t>estrategia sencilla</w:t>
      </w:r>
      <w:r w:rsidR="00574602" w:rsidRPr="00200EB0">
        <w:rPr>
          <w:lang w:val="es-ES_tradnl"/>
        </w:rPr>
        <w:t xml:space="preserve"> de cuestiones que pueden ser de interés para Navarra. Una vez definida esta breve estrategia, emprender</w:t>
      </w:r>
      <w:r w:rsidR="00684EAD" w:rsidRPr="00200EB0">
        <w:rPr>
          <w:lang w:val="es-ES_tradnl"/>
        </w:rPr>
        <w:t xml:space="preserve"> un diálogo con ellas, bien a nivel local o, bien, vía Delegación del Gobierno </w:t>
      </w:r>
      <w:r w:rsidR="00574602" w:rsidRPr="00200EB0">
        <w:rPr>
          <w:lang w:val="es-ES_tradnl"/>
        </w:rPr>
        <w:t>de Navarra, que puede encargarse de programar reuniones con las mismas</w:t>
      </w:r>
      <w:r w:rsidR="00684EAD" w:rsidRPr="00200EB0">
        <w:rPr>
          <w:lang w:val="es-ES_tradnl"/>
        </w:rPr>
        <w:t>.</w:t>
      </w:r>
    </w:p>
    <w:p w:rsidR="00200EB0" w:rsidRDefault="00200EB0" w:rsidP="00070DD6">
      <w:pPr>
        <w:spacing w:after="0" w:line="240" w:lineRule="auto"/>
        <w:jc w:val="both"/>
        <w:rPr>
          <w:lang w:val="es-ES_tradnl"/>
        </w:rPr>
      </w:pPr>
    </w:p>
    <w:p w:rsidR="00684EAD" w:rsidRDefault="00684EAD" w:rsidP="00070DD6">
      <w:pPr>
        <w:spacing w:after="0" w:line="240" w:lineRule="auto"/>
        <w:jc w:val="both"/>
        <w:rPr>
          <w:lang w:val="es-ES_tradnl"/>
        </w:rPr>
      </w:pPr>
    </w:p>
    <w:p w:rsidR="00684EAD" w:rsidRPr="00920122" w:rsidRDefault="00684EAD" w:rsidP="00070DD6">
      <w:pPr>
        <w:spacing w:after="0" w:line="240" w:lineRule="auto"/>
        <w:jc w:val="both"/>
        <w:rPr>
          <w:lang w:val="es-ES_tradnl"/>
        </w:rPr>
      </w:pPr>
    </w:p>
    <w:sectPr w:rsidR="00684EAD" w:rsidRPr="00920122" w:rsidSect="00B75CF1">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097" w:rsidRDefault="00C16097" w:rsidP="00EC3F6A">
      <w:pPr>
        <w:spacing w:after="0" w:line="240" w:lineRule="auto"/>
      </w:pPr>
      <w:r>
        <w:separator/>
      </w:r>
    </w:p>
  </w:endnote>
  <w:endnote w:type="continuationSeparator" w:id="0">
    <w:p w:rsidR="00C16097" w:rsidRDefault="00C16097" w:rsidP="00EC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38144"/>
      <w:docPartObj>
        <w:docPartGallery w:val="Page Numbers (Bottom of Page)"/>
        <w:docPartUnique/>
      </w:docPartObj>
    </w:sdtPr>
    <w:sdtEndPr/>
    <w:sdtContent>
      <w:p w:rsidR="00EE509C" w:rsidRDefault="00EE509C">
        <w:pPr>
          <w:pStyle w:val="Piedepgina"/>
          <w:jc w:val="right"/>
        </w:pPr>
        <w:r>
          <w:fldChar w:fldCharType="begin"/>
        </w:r>
        <w:r>
          <w:instrText>PAGE   \* MERGEFORMAT</w:instrText>
        </w:r>
        <w:r>
          <w:fldChar w:fldCharType="separate"/>
        </w:r>
        <w:r w:rsidR="00487035">
          <w:rPr>
            <w:noProof/>
          </w:rPr>
          <w:t>4</w:t>
        </w:r>
        <w:r>
          <w:fldChar w:fldCharType="end"/>
        </w:r>
      </w:p>
    </w:sdtContent>
  </w:sdt>
  <w:p w:rsidR="002676BA" w:rsidRPr="002676BA" w:rsidRDefault="00B75CF1">
    <w:pPr>
      <w:pStyle w:val="Piedepgina"/>
      <w:rPr>
        <w:lang w:val="fr-FR"/>
      </w:rPr>
    </w:pPr>
    <w:r>
      <w:rPr>
        <w:noProof/>
        <w:lang w:eastAsia="es-ES"/>
      </w:rPr>
      <w:drawing>
        <wp:inline distT="0" distB="0" distL="0" distR="0" wp14:anchorId="6795A824" wp14:editId="73606449">
          <wp:extent cx="944880" cy="353695"/>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3536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097" w:rsidRDefault="00C16097" w:rsidP="00EC3F6A">
      <w:pPr>
        <w:spacing w:after="0" w:line="240" w:lineRule="auto"/>
      </w:pPr>
      <w:r>
        <w:separator/>
      </w:r>
    </w:p>
  </w:footnote>
  <w:footnote w:type="continuationSeparator" w:id="0">
    <w:p w:rsidR="00C16097" w:rsidRDefault="00C16097" w:rsidP="00EC3F6A">
      <w:pPr>
        <w:spacing w:after="0" w:line="240" w:lineRule="auto"/>
      </w:pPr>
      <w:r>
        <w:continuationSeparator/>
      </w:r>
    </w:p>
  </w:footnote>
  <w:footnote w:id="1">
    <w:p w:rsidR="00ED17FE" w:rsidRDefault="00ED17FE">
      <w:pPr>
        <w:pStyle w:val="Textonotapie"/>
      </w:pPr>
      <w:r>
        <w:rPr>
          <w:rStyle w:val="Refdenotaalpie"/>
        </w:rPr>
        <w:footnoteRef/>
      </w:r>
      <w:r>
        <w:t xml:space="preserve"> </w:t>
      </w:r>
      <w:hyperlink r:id="rId1" w:history="1">
        <w:r w:rsidRPr="005F11BE">
          <w:rPr>
            <w:rStyle w:val="Hipervnculo"/>
          </w:rPr>
          <w:t>http://ec.europa.eu/social/home.jsp?langId=es</w:t>
        </w:r>
      </w:hyperlink>
      <w:r>
        <w:t xml:space="preserve"> </w:t>
      </w:r>
    </w:p>
  </w:footnote>
  <w:footnote w:id="2">
    <w:p w:rsidR="00ED17FE" w:rsidRDefault="00ED17FE">
      <w:pPr>
        <w:pStyle w:val="Textonotapie"/>
      </w:pPr>
      <w:r>
        <w:rPr>
          <w:rStyle w:val="Refdenotaalpie"/>
        </w:rPr>
        <w:footnoteRef/>
      </w:r>
      <w:r>
        <w:t xml:space="preserve"> </w:t>
      </w:r>
      <w:hyperlink r:id="rId2" w:history="1">
        <w:r w:rsidR="00C8031E" w:rsidRPr="005F11BE">
          <w:rPr>
            <w:rStyle w:val="Hipervnculo"/>
          </w:rPr>
          <w:t>http://ec.europa.eu/priorities/deeper-and-fairer-economic-and-monetary-union/towards-european-pillar-social-rights_en</w:t>
        </w:r>
      </w:hyperlink>
      <w:r w:rsidR="00C8031E">
        <w:t xml:space="preserve"> . Ver también </w:t>
      </w:r>
      <w:hyperlink r:id="rId3" w:history="1">
        <w:r w:rsidR="00C8031E" w:rsidRPr="005F11BE">
          <w:rPr>
            <w:rStyle w:val="Hipervnculo"/>
          </w:rPr>
          <w:t>http://europa.eu/rapid/press-release_IP-16-544_es.htm</w:t>
        </w:r>
      </w:hyperlink>
      <w:r w:rsidR="00C8031E">
        <w:t xml:space="preserve"> </w:t>
      </w:r>
    </w:p>
  </w:footnote>
  <w:footnote w:id="3">
    <w:p w:rsidR="00C8031E" w:rsidRDefault="00C8031E">
      <w:pPr>
        <w:pStyle w:val="Textonotapie"/>
      </w:pPr>
      <w:r>
        <w:rPr>
          <w:rStyle w:val="Refdenotaalpie"/>
        </w:rPr>
        <w:footnoteRef/>
      </w:r>
      <w:r>
        <w:t xml:space="preserve"> </w:t>
      </w:r>
      <w:hyperlink r:id="rId4" w:history="1">
        <w:r w:rsidR="00972155" w:rsidRPr="005F11BE">
          <w:rPr>
            <w:rStyle w:val="Hipervnculo"/>
          </w:rPr>
          <w:t>http://ec.europa.eu/social/main.jsp?langId=es&amp;catId=750</w:t>
        </w:r>
      </w:hyperlink>
      <w:r w:rsidR="00972155">
        <w:t xml:space="preserve"> </w:t>
      </w:r>
    </w:p>
  </w:footnote>
  <w:footnote w:id="4">
    <w:p w:rsidR="00972155" w:rsidRDefault="00972155">
      <w:pPr>
        <w:pStyle w:val="Textonotapie"/>
      </w:pPr>
      <w:r>
        <w:rPr>
          <w:rStyle w:val="Refdenotaalpie"/>
        </w:rPr>
        <w:footnoteRef/>
      </w:r>
      <w:r>
        <w:t xml:space="preserve"> </w:t>
      </w:r>
      <w:hyperlink r:id="rId5" w:history="1">
        <w:r w:rsidRPr="005F11BE">
          <w:rPr>
            <w:rStyle w:val="Hipervnculo"/>
          </w:rPr>
          <w:t>http://ec.europa.eu/social/main.jsp?langId=es&amp;catId=961</w:t>
        </w:r>
      </w:hyperlink>
      <w:r>
        <w:t xml:space="preserve"> </w:t>
      </w:r>
    </w:p>
  </w:footnote>
  <w:footnote w:id="5">
    <w:p w:rsidR="00972155" w:rsidRDefault="00972155">
      <w:pPr>
        <w:pStyle w:val="Textonotapie"/>
      </w:pPr>
      <w:r>
        <w:rPr>
          <w:rStyle w:val="Refdenotaalpie"/>
        </w:rPr>
        <w:footnoteRef/>
      </w:r>
      <w:r>
        <w:t xml:space="preserve"> </w:t>
      </w:r>
      <w:hyperlink r:id="rId6" w:history="1">
        <w:r w:rsidRPr="005F11BE">
          <w:rPr>
            <w:rStyle w:val="Hipervnculo"/>
          </w:rPr>
          <w:t>http://ec.europa.eu/social/main.jsp?langId=es&amp;catId=85</w:t>
        </w:r>
      </w:hyperlink>
      <w:r>
        <w:t xml:space="preserve"> </w:t>
      </w:r>
    </w:p>
  </w:footnote>
  <w:footnote w:id="6">
    <w:p w:rsidR="009C2E7E" w:rsidRDefault="009C2E7E">
      <w:pPr>
        <w:pStyle w:val="Textonotapie"/>
      </w:pPr>
      <w:r>
        <w:rPr>
          <w:rStyle w:val="Refdenotaalpie"/>
        </w:rPr>
        <w:footnoteRef/>
      </w:r>
      <w:r>
        <w:t xml:space="preserve"> </w:t>
      </w:r>
      <w:hyperlink r:id="rId7" w:history="1">
        <w:r w:rsidRPr="005F11BE">
          <w:rPr>
            <w:rStyle w:val="Hipervnculo"/>
          </w:rPr>
          <w:t>http://ec.europa.eu/social/main.jsp?catId=758&amp;langId=en</w:t>
        </w:r>
      </w:hyperlink>
      <w:r>
        <w:t xml:space="preserve"> </w:t>
      </w:r>
    </w:p>
  </w:footnote>
  <w:footnote w:id="7">
    <w:p w:rsidR="00972155" w:rsidRDefault="00972155">
      <w:pPr>
        <w:pStyle w:val="Textonotapie"/>
      </w:pPr>
      <w:r>
        <w:rPr>
          <w:rStyle w:val="Refdenotaalpie"/>
        </w:rPr>
        <w:footnoteRef/>
      </w:r>
      <w:r>
        <w:t xml:space="preserve"> </w:t>
      </w:r>
      <w:hyperlink r:id="rId8" w:history="1">
        <w:r w:rsidRPr="005F11BE">
          <w:rPr>
            <w:rStyle w:val="Hipervnculo"/>
          </w:rPr>
          <w:t>http://ec.europa.eu/social/main.jsp?catId=330&amp;langId=en</w:t>
        </w:r>
      </w:hyperlink>
      <w:r>
        <w:t xml:space="preserve"> </w:t>
      </w:r>
    </w:p>
  </w:footnote>
  <w:footnote w:id="8">
    <w:p w:rsidR="00D24623" w:rsidRDefault="00D24623">
      <w:pPr>
        <w:pStyle w:val="Textonotapie"/>
      </w:pPr>
      <w:r>
        <w:rPr>
          <w:rStyle w:val="Refdenotaalpie"/>
        </w:rPr>
        <w:footnoteRef/>
      </w:r>
      <w:r>
        <w:t xml:space="preserve"> </w:t>
      </w:r>
      <w:hyperlink r:id="rId9" w:history="1">
        <w:r w:rsidRPr="005F11BE">
          <w:rPr>
            <w:rStyle w:val="Hipervnculo"/>
          </w:rPr>
          <w:t>http://ec.europa.eu/social/home.jsp?langId=es</w:t>
        </w:r>
      </w:hyperlink>
      <w:r>
        <w:t xml:space="preserve"> </w:t>
      </w:r>
    </w:p>
  </w:footnote>
  <w:footnote w:id="9">
    <w:p w:rsidR="00BC5D99" w:rsidRDefault="00BC5D99">
      <w:pPr>
        <w:pStyle w:val="Textonotapie"/>
      </w:pPr>
      <w:r>
        <w:rPr>
          <w:rStyle w:val="Refdenotaalpie"/>
        </w:rPr>
        <w:footnoteRef/>
      </w:r>
      <w:r>
        <w:t xml:space="preserve"> </w:t>
      </w:r>
      <w:hyperlink r:id="rId10" w:history="1">
        <w:r w:rsidRPr="005F11BE">
          <w:rPr>
            <w:rStyle w:val="Hipervnculo"/>
          </w:rPr>
          <w:t>http://cor.europa.eu/es/activities/commissions/Pages/cor-commissions.aspx?comm=SEDEC</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F6A" w:rsidRPr="004E20C4" w:rsidRDefault="00B75CF1" w:rsidP="00EC3F6A">
    <w:pPr>
      <w:pStyle w:val="Encabezado"/>
      <w:rPr>
        <w:b/>
        <w:i/>
        <w:sz w:val="16"/>
        <w:szCs w:val="16"/>
      </w:rPr>
    </w:pPr>
    <w:r w:rsidRPr="00B75CF1">
      <w:rPr>
        <w:b/>
        <w:i/>
        <w:sz w:val="16"/>
        <w:szCs w:val="16"/>
      </w:rPr>
      <w:t xml:space="preserve">Delegación del Gobierno de Navarra en Bruselas / </w:t>
    </w:r>
    <w:proofErr w:type="spellStart"/>
    <w:r w:rsidRPr="00B75CF1">
      <w:rPr>
        <w:b/>
        <w:i/>
        <w:sz w:val="16"/>
        <w:szCs w:val="16"/>
      </w:rPr>
      <w:t>Nafarroako</w:t>
    </w:r>
    <w:proofErr w:type="spellEnd"/>
    <w:r w:rsidRPr="00B75CF1">
      <w:rPr>
        <w:b/>
        <w:i/>
        <w:sz w:val="16"/>
        <w:szCs w:val="16"/>
      </w:rPr>
      <w:t xml:space="preserve"> </w:t>
    </w:r>
    <w:proofErr w:type="spellStart"/>
    <w:r w:rsidRPr="00B75CF1">
      <w:rPr>
        <w:b/>
        <w:i/>
        <w:sz w:val="16"/>
        <w:szCs w:val="16"/>
      </w:rPr>
      <w:t>Gobernuaren</w:t>
    </w:r>
    <w:proofErr w:type="spellEnd"/>
    <w:r w:rsidRPr="00B75CF1">
      <w:rPr>
        <w:b/>
        <w:i/>
        <w:sz w:val="16"/>
        <w:szCs w:val="16"/>
      </w:rPr>
      <w:t xml:space="preserve"> </w:t>
    </w:r>
    <w:proofErr w:type="spellStart"/>
    <w:r w:rsidRPr="00B75CF1">
      <w:rPr>
        <w:b/>
        <w:i/>
        <w:sz w:val="16"/>
        <w:szCs w:val="16"/>
      </w:rPr>
      <w:t>Bruselako</w:t>
    </w:r>
    <w:proofErr w:type="spellEnd"/>
    <w:r w:rsidRPr="00B75CF1">
      <w:rPr>
        <w:b/>
        <w:i/>
        <w:sz w:val="16"/>
        <w:szCs w:val="16"/>
      </w:rPr>
      <w:t xml:space="preserve"> </w:t>
    </w:r>
    <w:proofErr w:type="spellStart"/>
    <w:r w:rsidRPr="00B75CF1">
      <w:rPr>
        <w:b/>
        <w:i/>
        <w:sz w:val="16"/>
        <w:szCs w:val="16"/>
      </w:rPr>
      <w:t>Ordezkaritza</w:t>
    </w:r>
    <w:proofErr w:type="spellEnd"/>
  </w:p>
  <w:p w:rsidR="00EC3F6A" w:rsidRDefault="00EC3F6A" w:rsidP="00EC3F6A">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5122"/>
    <w:multiLevelType w:val="hybridMultilevel"/>
    <w:tmpl w:val="7B96B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CF09AD"/>
    <w:multiLevelType w:val="hybridMultilevel"/>
    <w:tmpl w:val="C1EC36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CA33741"/>
    <w:multiLevelType w:val="hybridMultilevel"/>
    <w:tmpl w:val="E6062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EE218E"/>
    <w:multiLevelType w:val="hybridMultilevel"/>
    <w:tmpl w:val="0DB2B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2B352A9"/>
    <w:multiLevelType w:val="hybridMultilevel"/>
    <w:tmpl w:val="C30EA2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962DD9"/>
    <w:multiLevelType w:val="hybridMultilevel"/>
    <w:tmpl w:val="2B8853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7E38112B"/>
    <w:multiLevelType w:val="hybridMultilevel"/>
    <w:tmpl w:val="951E0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25"/>
    <w:rsid w:val="0004373B"/>
    <w:rsid w:val="00070DD6"/>
    <w:rsid w:val="00077A5D"/>
    <w:rsid w:val="000B7EA8"/>
    <w:rsid w:val="00121C52"/>
    <w:rsid w:val="001423C9"/>
    <w:rsid w:val="001579A1"/>
    <w:rsid w:val="00162E39"/>
    <w:rsid w:val="001E60D2"/>
    <w:rsid w:val="00200EB0"/>
    <w:rsid w:val="002466B7"/>
    <w:rsid w:val="002676BA"/>
    <w:rsid w:val="00283957"/>
    <w:rsid w:val="00293155"/>
    <w:rsid w:val="002967BF"/>
    <w:rsid w:val="002A0399"/>
    <w:rsid w:val="002C2F55"/>
    <w:rsid w:val="002D1C0D"/>
    <w:rsid w:val="002D3941"/>
    <w:rsid w:val="002D3B1E"/>
    <w:rsid w:val="00340A20"/>
    <w:rsid w:val="00373BFE"/>
    <w:rsid w:val="00376004"/>
    <w:rsid w:val="00402D5D"/>
    <w:rsid w:val="00404CD3"/>
    <w:rsid w:val="00416628"/>
    <w:rsid w:val="004270E4"/>
    <w:rsid w:val="0045545B"/>
    <w:rsid w:val="00470CF9"/>
    <w:rsid w:val="00480B9F"/>
    <w:rsid w:val="00487035"/>
    <w:rsid w:val="004F28DC"/>
    <w:rsid w:val="0050377E"/>
    <w:rsid w:val="005362EE"/>
    <w:rsid w:val="00536970"/>
    <w:rsid w:val="00556161"/>
    <w:rsid w:val="00574602"/>
    <w:rsid w:val="0058274D"/>
    <w:rsid w:val="005D5067"/>
    <w:rsid w:val="005F052C"/>
    <w:rsid w:val="00660D48"/>
    <w:rsid w:val="0067066B"/>
    <w:rsid w:val="00682D77"/>
    <w:rsid w:val="00684EAD"/>
    <w:rsid w:val="00703E16"/>
    <w:rsid w:val="00737261"/>
    <w:rsid w:val="00776958"/>
    <w:rsid w:val="00781804"/>
    <w:rsid w:val="007F47ED"/>
    <w:rsid w:val="007F6EA7"/>
    <w:rsid w:val="0080258A"/>
    <w:rsid w:val="00847E36"/>
    <w:rsid w:val="00880825"/>
    <w:rsid w:val="008F69DC"/>
    <w:rsid w:val="00911207"/>
    <w:rsid w:val="009171F7"/>
    <w:rsid w:val="00920122"/>
    <w:rsid w:val="009264A1"/>
    <w:rsid w:val="0093494F"/>
    <w:rsid w:val="0094503D"/>
    <w:rsid w:val="00950D74"/>
    <w:rsid w:val="00964925"/>
    <w:rsid w:val="00972155"/>
    <w:rsid w:val="009A5816"/>
    <w:rsid w:val="009B2673"/>
    <w:rsid w:val="009C2E7E"/>
    <w:rsid w:val="009C425B"/>
    <w:rsid w:val="009E176A"/>
    <w:rsid w:val="00A134EC"/>
    <w:rsid w:val="00A43F71"/>
    <w:rsid w:val="00A53273"/>
    <w:rsid w:val="00AA4C15"/>
    <w:rsid w:val="00AC18A3"/>
    <w:rsid w:val="00AF1A16"/>
    <w:rsid w:val="00B230A8"/>
    <w:rsid w:val="00B23B0F"/>
    <w:rsid w:val="00B44859"/>
    <w:rsid w:val="00B66A3F"/>
    <w:rsid w:val="00B75CF1"/>
    <w:rsid w:val="00BC5D99"/>
    <w:rsid w:val="00BD700D"/>
    <w:rsid w:val="00C15352"/>
    <w:rsid w:val="00C16097"/>
    <w:rsid w:val="00C166D8"/>
    <w:rsid w:val="00C21D69"/>
    <w:rsid w:val="00C61337"/>
    <w:rsid w:val="00C725DC"/>
    <w:rsid w:val="00C8031E"/>
    <w:rsid w:val="00C8713C"/>
    <w:rsid w:val="00CA19F6"/>
    <w:rsid w:val="00CA49C4"/>
    <w:rsid w:val="00D24623"/>
    <w:rsid w:val="00D433F5"/>
    <w:rsid w:val="00D707CA"/>
    <w:rsid w:val="00D84335"/>
    <w:rsid w:val="00D87066"/>
    <w:rsid w:val="00D92764"/>
    <w:rsid w:val="00DA54BC"/>
    <w:rsid w:val="00DD19CA"/>
    <w:rsid w:val="00DD58F2"/>
    <w:rsid w:val="00DE195E"/>
    <w:rsid w:val="00DE4B31"/>
    <w:rsid w:val="00E57C3A"/>
    <w:rsid w:val="00E61C50"/>
    <w:rsid w:val="00E74696"/>
    <w:rsid w:val="00EB2253"/>
    <w:rsid w:val="00EB30F4"/>
    <w:rsid w:val="00EC3F6A"/>
    <w:rsid w:val="00EC657A"/>
    <w:rsid w:val="00ED17FE"/>
    <w:rsid w:val="00EE509C"/>
    <w:rsid w:val="00EE6D0B"/>
    <w:rsid w:val="00EF5801"/>
    <w:rsid w:val="00F15BED"/>
    <w:rsid w:val="00F176FE"/>
    <w:rsid w:val="00F33816"/>
    <w:rsid w:val="00F33BCA"/>
    <w:rsid w:val="00F41063"/>
    <w:rsid w:val="00F45648"/>
    <w:rsid w:val="00F54238"/>
    <w:rsid w:val="00FA7B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144AA"/>
  <w15:chartTrackingRefBased/>
  <w15:docId w15:val="{6AADC07C-EEEF-4398-A434-200FC42A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73B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73B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3B0F"/>
    <w:rPr>
      <w:color w:val="0563C1" w:themeColor="hyperlink"/>
      <w:u w:val="single"/>
    </w:rPr>
  </w:style>
  <w:style w:type="paragraph" w:styleId="Prrafodelista">
    <w:name w:val="List Paragraph"/>
    <w:basedOn w:val="Normal"/>
    <w:uiPriority w:val="34"/>
    <w:qFormat/>
    <w:rsid w:val="00DD19CA"/>
    <w:pPr>
      <w:ind w:left="720"/>
      <w:contextualSpacing/>
    </w:pPr>
  </w:style>
  <w:style w:type="paragraph" w:styleId="Encabezado">
    <w:name w:val="header"/>
    <w:basedOn w:val="Normal"/>
    <w:link w:val="EncabezadoCar"/>
    <w:uiPriority w:val="99"/>
    <w:unhideWhenUsed/>
    <w:rsid w:val="00EC3F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3F6A"/>
  </w:style>
  <w:style w:type="paragraph" w:styleId="Piedepgina">
    <w:name w:val="footer"/>
    <w:basedOn w:val="Normal"/>
    <w:link w:val="PiedepginaCar"/>
    <w:uiPriority w:val="99"/>
    <w:unhideWhenUsed/>
    <w:rsid w:val="00EC3F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3F6A"/>
  </w:style>
  <w:style w:type="table" w:styleId="Tablaconcuadrcula">
    <w:name w:val="Table Grid"/>
    <w:basedOn w:val="Tablanormal"/>
    <w:uiPriority w:val="39"/>
    <w:rsid w:val="00EC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DA54BC"/>
    <w:pPr>
      <w:spacing w:after="0" w:line="240" w:lineRule="auto"/>
    </w:pPr>
    <w:rPr>
      <w:sz w:val="20"/>
      <w:szCs w:val="20"/>
    </w:rPr>
  </w:style>
  <w:style w:type="character" w:customStyle="1" w:styleId="TextonotapieCar">
    <w:name w:val="Texto nota pie Car"/>
    <w:basedOn w:val="Fuentedeprrafopredeter"/>
    <w:link w:val="Textonotapie"/>
    <w:rsid w:val="00DA54BC"/>
    <w:rPr>
      <w:sz w:val="20"/>
      <w:szCs w:val="20"/>
    </w:rPr>
  </w:style>
  <w:style w:type="character" w:styleId="Refdenotaalpie">
    <w:name w:val="footnote reference"/>
    <w:basedOn w:val="Fuentedeprrafopredeter"/>
    <w:unhideWhenUsed/>
    <w:rsid w:val="00DA54BC"/>
    <w:rPr>
      <w:vertAlign w:val="superscript"/>
    </w:rPr>
  </w:style>
  <w:style w:type="character" w:styleId="Hipervnculovisitado">
    <w:name w:val="FollowedHyperlink"/>
    <w:basedOn w:val="Fuentedeprrafopredeter"/>
    <w:uiPriority w:val="99"/>
    <w:semiHidden/>
    <w:unhideWhenUsed/>
    <w:rsid w:val="00AC18A3"/>
    <w:rPr>
      <w:color w:val="954F72" w:themeColor="followedHyperlink"/>
      <w:u w:val="single"/>
    </w:rPr>
  </w:style>
  <w:style w:type="character" w:customStyle="1" w:styleId="field-content">
    <w:name w:val="field-content"/>
    <w:basedOn w:val="Fuentedeprrafopredeter"/>
    <w:rsid w:val="00CA19F6"/>
  </w:style>
  <w:style w:type="character" w:customStyle="1" w:styleId="date-display-single">
    <w:name w:val="date-display-single"/>
    <w:basedOn w:val="Fuentedeprrafopredeter"/>
    <w:rsid w:val="00CA19F6"/>
  </w:style>
  <w:style w:type="character" w:customStyle="1" w:styleId="Ttulo1Car">
    <w:name w:val="Título 1 Car"/>
    <w:basedOn w:val="Fuentedeprrafopredeter"/>
    <w:link w:val="Ttulo1"/>
    <w:uiPriority w:val="9"/>
    <w:rsid w:val="00373BF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semiHidden/>
    <w:unhideWhenUsed/>
    <w:qFormat/>
    <w:rsid w:val="00373BFE"/>
    <w:pPr>
      <w:spacing w:before="480" w:line="276" w:lineRule="auto"/>
      <w:jc w:val="both"/>
      <w:outlineLvl w:val="9"/>
    </w:pPr>
    <w:rPr>
      <w:rFonts w:ascii="Cambria" w:eastAsia="Times New Roman" w:hAnsi="Cambria" w:cs="Times New Roman"/>
      <w:b/>
      <w:bCs/>
      <w:color w:val="365F91"/>
      <w:sz w:val="28"/>
      <w:szCs w:val="28"/>
      <w:lang w:val="eu-ES"/>
    </w:rPr>
  </w:style>
  <w:style w:type="paragraph" w:styleId="TDC1">
    <w:name w:val="toc 1"/>
    <w:basedOn w:val="Normal"/>
    <w:next w:val="Normal"/>
    <w:autoRedefine/>
    <w:uiPriority w:val="39"/>
    <w:qFormat/>
    <w:rsid w:val="00373BFE"/>
    <w:pPr>
      <w:tabs>
        <w:tab w:val="right" w:leader="dot" w:pos="8497"/>
      </w:tabs>
      <w:spacing w:before="120" w:after="120" w:line="240" w:lineRule="auto"/>
      <w:jc w:val="both"/>
    </w:pPr>
    <w:rPr>
      <w:rFonts w:ascii="Calibri" w:eastAsia="Times New Roman" w:hAnsi="Calibri" w:cs="Times New Roman"/>
      <w:b/>
      <w:bCs/>
      <w:caps/>
      <w:noProof/>
      <w:sz w:val="20"/>
      <w:szCs w:val="24"/>
      <w:lang w:val="eu-ES" w:eastAsia="eu-ES"/>
    </w:rPr>
  </w:style>
  <w:style w:type="paragraph" w:styleId="TDC2">
    <w:name w:val="toc 2"/>
    <w:basedOn w:val="Normal"/>
    <w:next w:val="Normal"/>
    <w:autoRedefine/>
    <w:uiPriority w:val="39"/>
    <w:unhideWhenUsed/>
    <w:rsid w:val="00373BFE"/>
    <w:pPr>
      <w:spacing w:after="100" w:line="276" w:lineRule="auto"/>
      <w:ind w:left="220"/>
      <w:jc w:val="both"/>
    </w:pPr>
    <w:rPr>
      <w:sz w:val="24"/>
    </w:rPr>
  </w:style>
  <w:style w:type="paragraph" w:styleId="TDC3">
    <w:name w:val="toc 3"/>
    <w:basedOn w:val="Normal"/>
    <w:next w:val="Normal"/>
    <w:autoRedefine/>
    <w:uiPriority w:val="39"/>
    <w:unhideWhenUsed/>
    <w:rsid w:val="00373BFE"/>
    <w:pPr>
      <w:spacing w:after="100" w:line="276" w:lineRule="auto"/>
      <w:ind w:left="440"/>
      <w:jc w:val="both"/>
    </w:pPr>
    <w:rPr>
      <w:sz w:val="24"/>
    </w:rPr>
  </w:style>
  <w:style w:type="character" w:customStyle="1" w:styleId="Ttulo2Car">
    <w:name w:val="Título 2 Car"/>
    <w:basedOn w:val="Fuentedeprrafopredeter"/>
    <w:link w:val="Ttulo2"/>
    <w:uiPriority w:val="9"/>
    <w:rsid w:val="00373BF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87422">
      <w:bodyDiv w:val="1"/>
      <w:marLeft w:val="0"/>
      <w:marRight w:val="0"/>
      <w:marTop w:val="0"/>
      <w:marBottom w:val="0"/>
      <w:divBdr>
        <w:top w:val="none" w:sz="0" w:space="0" w:color="auto"/>
        <w:left w:val="none" w:sz="0" w:space="0" w:color="auto"/>
        <w:bottom w:val="none" w:sz="0" w:space="0" w:color="auto"/>
        <w:right w:val="none" w:sz="0" w:space="0" w:color="auto"/>
      </w:divBdr>
      <w:divsChild>
        <w:div w:id="1918125123">
          <w:marLeft w:val="0"/>
          <w:marRight w:val="0"/>
          <w:marTop w:val="0"/>
          <w:marBottom w:val="0"/>
          <w:divBdr>
            <w:top w:val="none" w:sz="0" w:space="0" w:color="auto"/>
            <w:left w:val="none" w:sz="0" w:space="0" w:color="auto"/>
            <w:bottom w:val="none" w:sz="0" w:space="0" w:color="auto"/>
            <w:right w:val="none" w:sz="0" w:space="0" w:color="auto"/>
          </w:divBdr>
          <w:divsChild>
            <w:div w:id="124013002">
              <w:marLeft w:val="0"/>
              <w:marRight w:val="0"/>
              <w:marTop w:val="225"/>
              <w:marBottom w:val="0"/>
              <w:divBdr>
                <w:top w:val="none" w:sz="0" w:space="0" w:color="auto"/>
                <w:left w:val="none" w:sz="0" w:space="0" w:color="auto"/>
                <w:bottom w:val="none" w:sz="0" w:space="0" w:color="auto"/>
                <w:right w:val="none" w:sz="0" w:space="0" w:color="auto"/>
              </w:divBdr>
            </w:div>
            <w:div w:id="2062751912">
              <w:marLeft w:val="0"/>
              <w:marRight w:val="0"/>
              <w:marTop w:val="30"/>
              <w:marBottom w:val="75"/>
              <w:divBdr>
                <w:top w:val="none" w:sz="0" w:space="0" w:color="auto"/>
                <w:left w:val="none" w:sz="0" w:space="0" w:color="auto"/>
                <w:bottom w:val="none" w:sz="0" w:space="0" w:color="auto"/>
                <w:right w:val="none" w:sz="0" w:space="0" w:color="auto"/>
              </w:divBdr>
            </w:div>
          </w:divsChild>
        </w:div>
        <w:div w:id="475878905">
          <w:marLeft w:val="0"/>
          <w:marRight w:val="0"/>
          <w:marTop w:val="0"/>
          <w:marBottom w:val="0"/>
          <w:divBdr>
            <w:top w:val="none" w:sz="0" w:space="0" w:color="auto"/>
            <w:left w:val="none" w:sz="0" w:space="0" w:color="auto"/>
            <w:bottom w:val="none" w:sz="0" w:space="0" w:color="auto"/>
            <w:right w:val="none" w:sz="0" w:space="0" w:color="auto"/>
          </w:divBdr>
          <w:divsChild>
            <w:div w:id="1828786567">
              <w:marLeft w:val="0"/>
              <w:marRight w:val="0"/>
              <w:marTop w:val="225"/>
              <w:marBottom w:val="0"/>
              <w:divBdr>
                <w:top w:val="none" w:sz="0" w:space="0" w:color="auto"/>
                <w:left w:val="none" w:sz="0" w:space="0" w:color="auto"/>
                <w:bottom w:val="none" w:sz="0" w:space="0" w:color="auto"/>
                <w:right w:val="none" w:sz="0" w:space="0" w:color="auto"/>
              </w:divBdr>
            </w:div>
            <w:div w:id="2141917436">
              <w:marLeft w:val="0"/>
              <w:marRight w:val="0"/>
              <w:marTop w:val="30"/>
              <w:marBottom w:val="75"/>
              <w:divBdr>
                <w:top w:val="none" w:sz="0" w:space="0" w:color="auto"/>
                <w:left w:val="none" w:sz="0" w:space="0" w:color="auto"/>
                <w:bottom w:val="none" w:sz="0" w:space="0" w:color="auto"/>
                <w:right w:val="none" w:sz="0" w:space="0" w:color="auto"/>
              </w:divBdr>
            </w:div>
          </w:divsChild>
        </w:div>
        <w:div w:id="1657760183">
          <w:marLeft w:val="0"/>
          <w:marRight w:val="0"/>
          <w:marTop w:val="0"/>
          <w:marBottom w:val="0"/>
          <w:divBdr>
            <w:top w:val="none" w:sz="0" w:space="0" w:color="auto"/>
            <w:left w:val="none" w:sz="0" w:space="0" w:color="auto"/>
            <w:bottom w:val="none" w:sz="0" w:space="0" w:color="auto"/>
            <w:right w:val="none" w:sz="0" w:space="0" w:color="auto"/>
          </w:divBdr>
          <w:divsChild>
            <w:div w:id="1385328284">
              <w:marLeft w:val="0"/>
              <w:marRight w:val="0"/>
              <w:marTop w:val="225"/>
              <w:marBottom w:val="0"/>
              <w:divBdr>
                <w:top w:val="none" w:sz="0" w:space="0" w:color="auto"/>
                <w:left w:val="none" w:sz="0" w:space="0" w:color="auto"/>
                <w:bottom w:val="none" w:sz="0" w:space="0" w:color="auto"/>
                <w:right w:val="none" w:sz="0" w:space="0" w:color="auto"/>
              </w:divBdr>
            </w:div>
            <w:div w:id="272134304">
              <w:marLeft w:val="0"/>
              <w:marRight w:val="0"/>
              <w:marTop w:val="30"/>
              <w:marBottom w:val="75"/>
              <w:divBdr>
                <w:top w:val="none" w:sz="0" w:space="0" w:color="auto"/>
                <w:left w:val="none" w:sz="0" w:space="0" w:color="auto"/>
                <w:bottom w:val="none" w:sz="0" w:space="0" w:color="auto"/>
                <w:right w:val="none" w:sz="0" w:space="0" w:color="auto"/>
              </w:divBdr>
            </w:div>
          </w:divsChild>
        </w:div>
        <w:div w:id="132331966">
          <w:marLeft w:val="0"/>
          <w:marRight w:val="0"/>
          <w:marTop w:val="0"/>
          <w:marBottom w:val="0"/>
          <w:divBdr>
            <w:top w:val="none" w:sz="0" w:space="0" w:color="auto"/>
            <w:left w:val="none" w:sz="0" w:space="0" w:color="auto"/>
            <w:bottom w:val="none" w:sz="0" w:space="0" w:color="auto"/>
            <w:right w:val="none" w:sz="0" w:space="0" w:color="auto"/>
          </w:divBdr>
          <w:divsChild>
            <w:div w:id="1199127318">
              <w:marLeft w:val="0"/>
              <w:marRight w:val="0"/>
              <w:marTop w:val="225"/>
              <w:marBottom w:val="0"/>
              <w:divBdr>
                <w:top w:val="none" w:sz="0" w:space="0" w:color="auto"/>
                <w:left w:val="none" w:sz="0" w:space="0" w:color="auto"/>
                <w:bottom w:val="none" w:sz="0" w:space="0" w:color="auto"/>
                <w:right w:val="none" w:sz="0" w:space="0" w:color="auto"/>
              </w:divBdr>
            </w:div>
            <w:div w:id="1604458344">
              <w:marLeft w:val="0"/>
              <w:marRight w:val="0"/>
              <w:marTop w:val="30"/>
              <w:marBottom w:val="75"/>
              <w:divBdr>
                <w:top w:val="none" w:sz="0" w:space="0" w:color="auto"/>
                <w:left w:val="none" w:sz="0" w:space="0" w:color="auto"/>
                <w:bottom w:val="none" w:sz="0" w:space="0" w:color="auto"/>
                <w:right w:val="none" w:sz="0" w:space="0" w:color="auto"/>
              </w:divBdr>
            </w:div>
          </w:divsChild>
        </w:div>
        <w:div w:id="412431570">
          <w:marLeft w:val="0"/>
          <w:marRight w:val="0"/>
          <w:marTop w:val="0"/>
          <w:marBottom w:val="0"/>
          <w:divBdr>
            <w:top w:val="none" w:sz="0" w:space="0" w:color="auto"/>
            <w:left w:val="none" w:sz="0" w:space="0" w:color="auto"/>
            <w:bottom w:val="none" w:sz="0" w:space="0" w:color="auto"/>
            <w:right w:val="none" w:sz="0" w:space="0" w:color="auto"/>
          </w:divBdr>
          <w:divsChild>
            <w:div w:id="1102453629">
              <w:marLeft w:val="0"/>
              <w:marRight w:val="0"/>
              <w:marTop w:val="225"/>
              <w:marBottom w:val="0"/>
              <w:divBdr>
                <w:top w:val="none" w:sz="0" w:space="0" w:color="auto"/>
                <w:left w:val="none" w:sz="0" w:space="0" w:color="auto"/>
                <w:bottom w:val="none" w:sz="0" w:space="0" w:color="auto"/>
                <w:right w:val="none" w:sz="0" w:space="0" w:color="auto"/>
              </w:divBdr>
            </w:div>
            <w:div w:id="73782169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arra.es/home_es/Gobierno+de+Navarra/Organigrama/Los+departamentos/Economia+y+Hacienda/Organigrama/El+departamento/Internacionalizacion/Europa/Fondos+estructurales+Navarra/Periodo+2014-2020/Periodo+2014-2020+V1.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bruselas.site/es/redes?f%5b0%5d=field_sector%3A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social/main.jsp?catId=330&amp;langId=en" TargetMode="External"/><Relationship Id="rId4" Type="http://schemas.openxmlformats.org/officeDocument/2006/relationships/settings" Target="settings.xml"/><Relationship Id="rId9" Type="http://schemas.openxmlformats.org/officeDocument/2006/relationships/hyperlink" Target="http://www.empleo.gob.es/uafse/es/FEAD/PO_FEAD.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social/main.jsp?catId=330&amp;langId=en" TargetMode="External"/><Relationship Id="rId3" Type="http://schemas.openxmlformats.org/officeDocument/2006/relationships/hyperlink" Target="http://europa.eu/rapid/press-release_IP-16-544_es.htm" TargetMode="External"/><Relationship Id="rId7" Type="http://schemas.openxmlformats.org/officeDocument/2006/relationships/hyperlink" Target="http://ec.europa.eu/social/main.jsp?catId=758&amp;langId=en" TargetMode="External"/><Relationship Id="rId2" Type="http://schemas.openxmlformats.org/officeDocument/2006/relationships/hyperlink" Target="http://ec.europa.eu/priorities/deeper-and-fairer-economic-and-monetary-union/towards-european-pillar-social-rights_en" TargetMode="External"/><Relationship Id="rId1" Type="http://schemas.openxmlformats.org/officeDocument/2006/relationships/hyperlink" Target="http://ec.europa.eu/social/home.jsp?langId=es" TargetMode="External"/><Relationship Id="rId6" Type="http://schemas.openxmlformats.org/officeDocument/2006/relationships/hyperlink" Target="http://ec.europa.eu/social/main.jsp?langId=es&amp;catId=85" TargetMode="External"/><Relationship Id="rId5" Type="http://schemas.openxmlformats.org/officeDocument/2006/relationships/hyperlink" Target="http://ec.europa.eu/social/main.jsp?langId=es&amp;catId=961" TargetMode="External"/><Relationship Id="rId10" Type="http://schemas.openxmlformats.org/officeDocument/2006/relationships/hyperlink" Target="http://cor.europa.eu/es/activities/commissions/Pages/cor-commissions.aspx?comm=SEDEC" TargetMode="External"/><Relationship Id="rId4" Type="http://schemas.openxmlformats.org/officeDocument/2006/relationships/hyperlink" Target="http://ec.europa.eu/social/main.jsp?langId=es&amp;catId=750" TargetMode="External"/><Relationship Id="rId9" Type="http://schemas.openxmlformats.org/officeDocument/2006/relationships/hyperlink" Target="http://ec.europa.eu/social/home.jsp?langI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78DA6-FF47-4667-B527-B70104DC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1395</Words>
  <Characters>7673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IRUJO AMEZAGA, Mikel</dc:creator>
  <cp:keywords/>
  <dc:description/>
  <cp:lastModifiedBy>IRUJO AMEZAGA, Mikel</cp:lastModifiedBy>
  <cp:revision>6</cp:revision>
  <dcterms:created xsi:type="dcterms:W3CDTF">2016-09-14T13:53:00Z</dcterms:created>
  <dcterms:modified xsi:type="dcterms:W3CDTF">2016-09-14T16:46:00Z</dcterms:modified>
</cp:coreProperties>
</file>